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6B051" w14:textId="21B9EBB8" w:rsidR="00C43A44" w:rsidRPr="00BC2790" w:rsidRDefault="00BE65AD" w:rsidP="00A80AF6">
      <w:pPr>
        <w:jc w:val="center"/>
        <w:rPr>
          <w:rFonts w:ascii="Garamond" w:hAnsi="Garamond"/>
          <w:b/>
          <w:sz w:val="28"/>
          <w:szCs w:val="28"/>
        </w:rPr>
      </w:pPr>
      <w:r w:rsidRPr="00BC2790">
        <w:rPr>
          <w:rFonts w:ascii="Garamond" w:hAnsi="Garamond"/>
          <w:b/>
          <w:sz w:val="28"/>
          <w:szCs w:val="28"/>
        </w:rPr>
        <w:t>Qualitative</w:t>
      </w:r>
      <w:r w:rsidR="00C43A44" w:rsidRPr="00BC2790">
        <w:rPr>
          <w:rFonts w:ascii="Garamond" w:hAnsi="Garamond"/>
          <w:b/>
          <w:sz w:val="28"/>
          <w:szCs w:val="28"/>
        </w:rPr>
        <w:t xml:space="preserve"> (</w:t>
      </w:r>
      <w:r w:rsidRPr="00BC2790">
        <w:rPr>
          <w:rFonts w:ascii="Garamond" w:hAnsi="Garamond"/>
          <w:b/>
          <w:sz w:val="28"/>
          <w:szCs w:val="28"/>
        </w:rPr>
        <w:t>Ethnographic</w:t>
      </w:r>
      <w:r w:rsidR="00C43A44" w:rsidRPr="00BC2790">
        <w:rPr>
          <w:rFonts w:ascii="Garamond" w:hAnsi="Garamond"/>
          <w:b/>
          <w:sz w:val="28"/>
          <w:szCs w:val="28"/>
        </w:rPr>
        <w:t>)</w:t>
      </w:r>
      <w:r w:rsidRPr="00BC2790">
        <w:rPr>
          <w:rFonts w:ascii="Garamond" w:hAnsi="Garamond"/>
          <w:b/>
          <w:sz w:val="28"/>
          <w:szCs w:val="28"/>
        </w:rPr>
        <w:t xml:space="preserve"> Research</w:t>
      </w:r>
      <w:r w:rsidR="00C43A44" w:rsidRPr="00BC2790">
        <w:rPr>
          <w:rFonts w:ascii="Garamond" w:hAnsi="Garamond"/>
          <w:b/>
          <w:sz w:val="28"/>
          <w:szCs w:val="28"/>
        </w:rPr>
        <w:t xml:space="preserve"> Seminar</w:t>
      </w:r>
    </w:p>
    <w:p w14:paraId="41972204" w14:textId="7FACC2CB" w:rsidR="00BE65AD" w:rsidRPr="00F6575D" w:rsidRDefault="00A80AF6" w:rsidP="00BC2790">
      <w:pPr>
        <w:jc w:val="both"/>
        <w:rPr>
          <w:rFonts w:ascii="Garamond" w:hAnsi="Garamond"/>
          <w:b/>
        </w:rPr>
      </w:pPr>
      <w:r>
        <w:rPr>
          <w:rFonts w:ascii="Garamond" w:hAnsi="Garamond"/>
          <w:b/>
        </w:rPr>
        <w:t xml:space="preserve"> </w:t>
      </w:r>
    </w:p>
    <w:p w14:paraId="5E00C067" w14:textId="2A1FFA90" w:rsidR="00C5597F" w:rsidRPr="003435BD" w:rsidRDefault="00C5597F" w:rsidP="00C5597F">
      <w:pPr>
        <w:spacing w:line="100" w:lineRule="atLeast"/>
        <w:rPr>
          <w:rFonts w:ascii="Garamond" w:hAnsi="Garamond"/>
          <w:bCs/>
          <w:i/>
          <w:color w:val="000000"/>
          <w:sz w:val="22"/>
          <w:szCs w:val="22"/>
        </w:rPr>
      </w:pPr>
      <w:r w:rsidRPr="003435BD">
        <w:rPr>
          <w:rFonts w:ascii="Garamond" w:hAnsi="Garamond"/>
          <w:bCs/>
          <w:i/>
          <w:color w:val="000000"/>
          <w:sz w:val="22"/>
          <w:szCs w:val="22"/>
        </w:rPr>
        <w:t>During Ted’s final year of teaching at Trinity Evangelical Divinity School</w:t>
      </w:r>
      <w:r w:rsidR="008C6BD8">
        <w:rPr>
          <w:rFonts w:ascii="Garamond" w:hAnsi="Garamond"/>
          <w:bCs/>
          <w:i/>
          <w:color w:val="000000"/>
          <w:sz w:val="22"/>
          <w:szCs w:val="22"/>
        </w:rPr>
        <w:t xml:space="preserve">, </w:t>
      </w:r>
      <w:r w:rsidRPr="003435BD">
        <w:rPr>
          <w:rFonts w:ascii="Garamond" w:hAnsi="Garamond"/>
          <w:bCs/>
          <w:i/>
          <w:color w:val="000000"/>
          <w:sz w:val="22"/>
          <w:szCs w:val="22"/>
        </w:rPr>
        <w:t>Chicago</w:t>
      </w:r>
      <w:r w:rsidR="008C6BD8">
        <w:rPr>
          <w:rFonts w:ascii="Garamond" w:hAnsi="Garamond"/>
          <w:bCs/>
          <w:i/>
          <w:color w:val="000000"/>
          <w:sz w:val="22"/>
          <w:szCs w:val="22"/>
        </w:rPr>
        <w:t xml:space="preserve"> (1998-1999)</w:t>
      </w:r>
      <w:r w:rsidRPr="003435BD">
        <w:rPr>
          <w:rFonts w:ascii="Garamond" w:hAnsi="Garamond"/>
          <w:bCs/>
          <w:i/>
          <w:color w:val="000000"/>
          <w:sz w:val="22"/>
          <w:szCs w:val="22"/>
        </w:rPr>
        <w:t>, his research courses</w:t>
      </w:r>
      <w:r w:rsidR="00515A55">
        <w:rPr>
          <w:rFonts w:ascii="Garamond" w:hAnsi="Garamond"/>
          <w:bCs/>
          <w:i/>
          <w:color w:val="000000"/>
          <w:sz w:val="22"/>
          <w:szCs w:val="22"/>
        </w:rPr>
        <w:t xml:space="preserve"> for the PhD in Educational Studies program</w:t>
      </w:r>
      <w:r w:rsidRPr="003435BD">
        <w:rPr>
          <w:rFonts w:ascii="Garamond" w:hAnsi="Garamond"/>
          <w:bCs/>
          <w:i/>
          <w:color w:val="000000"/>
          <w:sz w:val="22"/>
          <w:szCs w:val="22"/>
        </w:rPr>
        <w:t xml:space="preserve"> were videotaped. The VHS tapes were subsequently edited, processed through software designed to improve the video and audio as much as possible, and then digitized. The quality is vastly improved from the original VHS. </w:t>
      </w:r>
      <w:r>
        <w:rPr>
          <w:rFonts w:ascii="Garamond" w:hAnsi="Garamond"/>
          <w:bCs/>
          <w:i/>
          <w:color w:val="000000"/>
          <w:sz w:val="22"/>
          <w:szCs w:val="22"/>
        </w:rPr>
        <w:t xml:space="preserve">Our gratitude to Dr. Jim Dekker for his substantial investment of time in this project.    </w:t>
      </w:r>
    </w:p>
    <w:p w14:paraId="5DE21E29" w14:textId="77777777" w:rsidR="007E0090" w:rsidRPr="00BC2790" w:rsidRDefault="007E0090" w:rsidP="00BC2790">
      <w:pPr>
        <w:jc w:val="both"/>
        <w:rPr>
          <w:rFonts w:ascii="Garamond" w:hAnsi="Garamond"/>
        </w:rPr>
      </w:pPr>
      <w:r w:rsidRPr="00BC2790">
        <w:rPr>
          <w:rFonts w:ascii="Garamond" w:hAnsi="Garamond"/>
          <w:color w:val="000000"/>
        </w:rPr>
        <w:t xml:space="preserve"> </w:t>
      </w:r>
    </w:p>
    <w:p w14:paraId="46ABF691" w14:textId="7489978F" w:rsidR="00BE65AD" w:rsidRPr="00BC2790" w:rsidRDefault="00BC2790" w:rsidP="00BC2790">
      <w:pPr>
        <w:jc w:val="both"/>
        <w:rPr>
          <w:rFonts w:ascii="Garamond" w:hAnsi="Garamond"/>
        </w:rPr>
      </w:pPr>
      <w:r w:rsidRPr="00BC2790">
        <w:rPr>
          <w:rFonts w:ascii="Garamond" w:hAnsi="Garamond"/>
        </w:rPr>
        <w:t>In this seminar, Ted describes</w:t>
      </w:r>
      <w:r w:rsidR="00BE65AD" w:rsidRPr="00BC2790">
        <w:rPr>
          <w:rFonts w:ascii="Garamond" w:hAnsi="Garamond"/>
        </w:rPr>
        <w:t xml:space="preserve"> the skills of observation and interviewing, especially as needed for holistic and contextual analysis of soci</w:t>
      </w:r>
      <w:r w:rsidRPr="00BC2790">
        <w:rPr>
          <w:rFonts w:ascii="Garamond" w:hAnsi="Garamond"/>
        </w:rPr>
        <w:t>al process. The basic purpose i</w:t>
      </w:r>
      <w:r w:rsidR="00BE65AD" w:rsidRPr="00BC2790">
        <w:rPr>
          <w:rFonts w:ascii="Garamond" w:hAnsi="Garamond"/>
        </w:rPr>
        <w:t xml:space="preserve">s to facilitate the ability to carry out field research in the style, form, and discipline of anthropological inquiry. Further, the skills of analysis of qualitative data and the capability to test generalizations in </w:t>
      </w:r>
      <w:r w:rsidRPr="00BC2790">
        <w:rPr>
          <w:rFonts w:ascii="Garamond" w:hAnsi="Garamond"/>
        </w:rPr>
        <w:t>larger or contrasting settings a</w:t>
      </w:r>
      <w:r w:rsidR="00BE65AD" w:rsidRPr="00BC2790">
        <w:rPr>
          <w:rFonts w:ascii="Garamond" w:hAnsi="Garamond"/>
        </w:rPr>
        <w:t>re emphasized. The ultimate application of these skills is assumed to be the enrichment of the knowledge base for tho</w:t>
      </w:r>
      <w:r w:rsidR="00A80AF6">
        <w:rPr>
          <w:rFonts w:ascii="Garamond" w:hAnsi="Garamond"/>
        </w:rPr>
        <w:t xml:space="preserve">se aspects of Christian ministry </w:t>
      </w:r>
      <w:r w:rsidR="00BE65AD" w:rsidRPr="00BC2790">
        <w:rPr>
          <w:rFonts w:ascii="Garamond" w:hAnsi="Garamond"/>
        </w:rPr>
        <w:t>which are fulfilled through human interactions, as in missions, evangelism, and education.</w:t>
      </w:r>
    </w:p>
    <w:p w14:paraId="4E1EF330" w14:textId="77777777" w:rsidR="003A7CED" w:rsidRPr="00BC2790" w:rsidRDefault="003A7CED" w:rsidP="00BC2790">
      <w:pPr>
        <w:jc w:val="both"/>
        <w:rPr>
          <w:rFonts w:ascii="Garamond" w:hAnsi="Garamond"/>
        </w:rPr>
      </w:pPr>
    </w:p>
    <w:p w14:paraId="14646277" w14:textId="3CF6A76F" w:rsidR="0095637A" w:rsidRPr="00BC2790" w:rsidRDefault="0095637A" w:rsidP="00BC2790">
      <w:pPr>
        <w:jc w:val="both"/>
        <w:rPr>
          <w:rFonts w:ascii="Garamond" w:hAnsi="Garamond"/>
        </w:rPr>
      </w:pPr>
      <w:r w:rsidRPr="00BC2790">
        <w:rPr>
          <w:rFonts w:ascii="Garamond" w:hAnsi="Garamond"/>
        </w:rPr>
        <w:t xml:space="preserve">For the April 21, 22, and 26-29 sessions Ted was </w:t>
      </w:r>
      <w:r w:rsidR="00507820" w:rsidRPr="00BC2790">
        <w:rPr>
          <w:rFonts w:ascii="Garamond" w:hAnsi="Garamond"/>
        </w:rPr>
        <w:t>on assignment i</w:t>
      </w:r>
      <w:r w:rsidRPr="00BC2790">
        <w:rPr>
          <w:rFonts w:ascii="Garamond" w:hAnsi="Garamond"/>
        </w:rPr>
        <w:t>n China</w:t>
      </w:r>
      <w:r w:rsidR="00507820" w:rsidRPr="00BC2790">
        <w:rPr>
          <w:rFonts w:ascii="Garamond" w:hAnsi="Garamond"/>
        </w:rPr>
        <w:t xml:space="preserve">. </w:t>
      </w:r>
      <w:r w:rsidRPr="00BC2790">
        <w:rPr>
          <w:rFonts w:ascii="Garamond" w:hAnsi="Garamond"/>
        </w:rPr>
        <w:t xml:space="preserve">However, he prepared a video for the seminar that is available in the video series. He also prepared the following instructions for seminar </w:t>
      </w:r>
      <w:r w:rsidR="00BC2790" w:rsidRPr="00BC2790">
        <w:rPr>
          <w:rFonts w:ascii="Garamond" w:hAnsi="Garamond"/>
        </w:rPr>
        <w:t xml:space="preserve">facilitators and </w:t>
      </w:r>
      <w:r w:rsidRPr="00BC2790">
        <w:rPr>
          <w:rFonts w:ascii="Garamond" w:hAnsi="Garamond"/>
        </w:rPr>
        <w:t>participants.</w:t>
      </w:r>
    </w:p>
    <w:p w14:paraId="6A222387" w14:textId="77777777" w:rsidR="00507820" w:rsidRPr="00BC2790" w:rsidRDefault="00507820" w:rsidP="00BC2790">
      <w:pPr>
        <w:jc w:val="both"/>
        <w:rPr>
          <w:rFonts w:ascii="Garamond" w:hAnsi="Garamond"/>
        </w:rPr>
      </w:pPr>
    </w:p>
    <w:p w14:paraId="3AB9EA01" w14:textId="77777777" w:rsidR="00507820" w:rsidRPr="00BC2790" w:rsidRDefault="00507820" w:rsidP="00BC2790">
      <w:pPr>
        <w:spacing w:line="100" w:lineRule="atLeast"/>
        <w:jc w:val="both"/>
        <w:rPr>
          <w:rFonts w:ascii="Garamond" w:hAnsi="Garamond"/>
          <w:color w:val="000000"/>
          <w:sz w:val="28"/>
          <w:szCs w:val="28"/>
        </w:rPr>
      </w:pPr>
      <w:r w:rsidRPr="00BC2790">
        <w:rPr>
          <w:rFonts w:ascii="Garamond" w:hAnsi="Garamond"/>
          <w:b/>
          <w:bCs/>
          <w:color w:val="000000"/>
          <w:sz w:val="28"/>
          <w:szCs w:val="28"/>
        </w:rPr>
        <w:t xml:space="preserve">April 21 </w:t>
      </w:r>
      <w:r w:rsidRPr="00BC2790">
        <w:rPr>
          <w:rFonts w:ascii="Garamond" w:hAnsi="Garamond"/>
          <w:color w:val="000000"/>
          <w:sz w:val="28"/>
          <w:szCs w:val="28"/>
        </w:rPr>
        <w:t xml:space="preserve">  </w:t>
      </w:r>
    </w:p>
    <w:p w14:paraId="0952FACA" w14:textId="65D77FE9" w:rsidR="00507820" w:rsidRPr="00BC2790" w:rsidRDefault="00507820" w:rsidP="00BC2790">
      <w:pPr>
        <w:spacing w:line="100" w:lineRule="atLeast"/>
        <w:jc w:val="both"/>
        <w:rPr>
          <w:rFonts w:ascii="Garamond" w:hAnsi="Garamond"/>
          <w:b/>
          <w:bCs/>
          <w:color w:val="000000"/>
        </w:rPr>
      </w:pPr>
      <w:r w:rsidRPr="00BC2790">
        <w:rPr>
          <w:rFonts w:ascii="Garamond" w:hAnsi="Garamond"/>
          <w:bCs/>
          <w:i/>
          <w:color w:val="000000"/>
        </w:rPr>
        <w:t>Organizing Data and Findings</w:t>
      </w:r>
      <w:r w:rsidR="00A80AF6">
        <w:rPr>
          <w:rFonts w:ascii="Garamond" w:hAnsi="Garamond"/>
          <w:bCs/>
          <w:color w:val="000000"/>
        </w:rPr>
        <w:t xml:space="preserve">. </w:t>
      </w:r>
      <w:r w:rsidRPr="00BC2790">
        <w:rPr>
          <w:rFonts w:ascii="Garamond" w:hAnsi="Garamond"/>
          <w:bCs/>
          <w:color w:val="000000"/>
        </w:rPr>
        <w:t xml:space="preserve">Participants must bring typed field notes from at least one observation or interview, double spaced. If, unfortunately a dyad still has no fieldwork done, they are to interview each other during this session about their own previous schooling, each person writing some field notes on the interview of the other. Use these two papers in place of the actual field work.)    </w:t>
      </w:r>
    </w:p>
    <w:p w14:paraId="4F6BC35D" w14:textId="77777777" w:rsidR="00507820" w:rsidRPr="00BC2790" w:rsidRDefault="00507820" w:rsidP="00BC2790">
      <w:pPr>
        <w:spacing w:line="100" w:lineRule="atLeast"/>
        <w:ind w:firstLine="720"/>
        <w:jc w:val="both"/>
        <w:rPr>
          <w:rFonts w:ascii="Garamond" w:hAnsi="Garamond"/>
          <w:color w:val="000000"/>
        </w:rPr>
      </w:pPr>
      <w:r w:rsidRPr="00BC2790">
        <w:rPr>
          <w:rFonts w:ascii="Garamond" w:hAnsi="Garamond"/>
          <w:color w:val="000000"/>
          <w:u w:val="single"/>
        </w:rPr>
        <w:t>Step 1.</w:t>
      </w:r>
      <w:r w:rsidRPr="00BC2790">
        <w:rPr>
          <w:rFonts w:ascii="Garamond" w:hAnsi="Garamond"/>
          <w:color w:val="000000"/>
        </w:rPr>
        <w:t xml:space="preserve"> Work together with your partner to identify the sorts of things that are informational bits and meaningful findings. Mark the paper by circling these bits. Use  larger circles for the more important matters—the things about which you might build a paragraph of explanation or commentary.</w:t>
      </w:r>
    </w:p>
    <w:p w14:paraId="7432B886" w14:textId="77777777" w:rsidR="00507820" w:rsidRPr="00BC2790" w:rsidRDefault="00507820" w:rsidP="00BC2790">
      <w:pPr>
        <w:spacing w:line="100" w:lineRule="atLeast"/>
        <w:ind w:firstLine="720"/>
        <w:jc w:val="both"/>
        <w:rPr>
          <w:rFonts w:ascii="Garamond" w:hAnsi="Garamond"/>
          <w:color w:val="000000"/>
        </w:rPr>
      </w:pPr>
      <w:r w:rsidRPr="00BC2790">
        <w:rPr>
          <w:rFonts w:ascii="Garamond" w:hAnsi="Garamond"/>
          <w:color w:val="000000"/>
          <w:u w:val="single"/>
        </w:rPr>
        <w:t>Step 2</w:t>
      </w:r>
      <w:r w:rsidRPr="00BC2790">
        <w:rPr>
          <w:rFonts w:ascii="Garamond" w:hAnsi="Garamond"/>
          <w:color w:val="000000"/>
        </w:rPr>
        <w:t xml:space="preserve">. For each circled item or “bit,” decide what kind of information it is. In other words, what </w:t>
      </w:r>
      <w:r w:rsidRPr="00BC2790">
        <w:rPr>
          <w:rFonts w:ascii="Garamond" w:hAnsi="Garamond"/>
          <w:i/>
          <w:iCs/>
          <w:color w:val="000000"/>
        </w:rPr>
        <w:t>family</w:t>
      </w:r>
      <w:r w:rsidRPr="00BC2790">
        <w:rPr>
          <w:rFonts w:ascii="Garamond" w:hAnsi="Garamond"/>
          <w:color w:val="000000"/>
        </w:rPr>
        <w:t xml:space="preserve"> of thoughts does it represent. Decide on a name for that family. That name is the </w:t>
      </w:r>
      <w:r w:rsidRPr="00BC2790">
        <w:rPr>
          <w:rFonts w:ascii="Garamond" w:hAnsi="Garamond"/>
          <w:i/>
          <w:iCs/>
          <w:color w:val="000000"/>
        </w:rPr>
        <w:t xml:space="preserve">code </w:t>
      </w:r>
      <w:r w:rsidRPr="00BC2790">
        <w:rPr>
          <w:rFonts w:ascii="Garamond" w:hAnsi="Garamond"/>
          <w:color w:val="000000"/>
        </w:rPr>
        <w:t>which will be used for the collecting and clustering of items in that family.</w:t>
      </w:r>
    </w:p>
    <w:p w14:paraId="58DDE28A" w14:textId="77777777" w:rsidR="00507820" w:rsidRPr="00BC2790" w:rsidRDefault="00507820" w:rsidP="00BC2790">
      <w:pPr>
        <w:spacing w:line="100" w:lineRule="atLeast"/>
        <w:ind w:firstLine="720"/>
        <w:jc w:val="both"/>
        <w:rPr>
          <w:rFonts w:ascii="Garamond" w:hAnsi="Garamond"/>
          <w:color w:val="000000"/>
        </w:rPr>
      </w:pPr>
      <w:r w:rsidRPr="00BC2790">
        <w:rPr>
          <w:rFonts w:ascii="Garamond" w:hAnsi="Garamond"/>
          <w:color w:val="000000"/>
          <w:u w:val="single"/>
        </w:rPr>
        <w:t>Step 3</w:t>
      </w:r>
      <w:r w:rsidRPr="00BC2790">
        <w:rPr>
          <w:rFonts w:ascii="Garamond" w:hAnsi="Garamond"/>
          <w:color w:val="000000"/>
        </w:rPr>
        <w:t>. Using ideas that you have received from your reading, as well as your own imagination and creative thought, decide what else should be considered and represented in your code system. For example,</w:t>
      </w:r>
      <w:r w:rsidRPr="00BC2790">
        <w:rPr>
          <w:rFonts w:ascii="Garamond" w:hAnsi="Garamond"/>
          <w:i/>
          <w:iCs/>
          <w:color w:val="000000"/>
        </w:rPr>
        <w:t xml:space="preserve"> experiences</w:t>
      </w:r>
      <w:r w:rsidRPr="00BC2790">
        <w:rPr>
          <w:rFonts w:ascii="Garamond" w:hAnsi="Garamond"/>
          <w:color w:val="000000"/>
        </w:rPr>
        <w:t xml:space="preserve"> that are described as </w:t>
      </w:r>
      <w:r w:rsidRPr="00BC2790">
        <w:rPr>
          <w:rFonts w:ascii="Garamond" w:hAnsi="Garamond"/>
          <w:i/>
          <w:iCs/>
          <w:color w:val="000000"/>
        </w:rPr>
        <w:t>positive</w:t>
      </w:r>
      <w:r w:rsidRPr="00BC2790">
        <w:rPr>
          <w:rFonts w:ascii="Garamond" w:hAnsi="Garamond"/>
          <w:color w:val="000000"/>
        </w:rPr>
        <w:t xml:space="preserve"> for the interviewee could be marked “Exp+” or negative experiences could be coded “Exp-”  </w:t>
      </w:r>
    </w:p>
    <w:p w14:paraId="28A22F48" w14:textId="77777777" w:rsidR="00507820" w:rsidRPr="00BC2790" w:rsidRDefault="00507820" w:rsidP="00BC2790">
      <w:pPr>
        <w:pStyle w:val="ListParagraph"/>
        <w:numPr>
          <w:ilvl w:val="0"/>
          <w:numId w:val="1"/>
        </w:numPr>
        <w:spacing w:line="100" w:lineRule="atLeast"/>
        <w:jc w:val="both"/>
        <w:rPr>
          <w:rFonts w:ascii="Garamond" w:hAnsi="Garamond"/>
          <w:color w:val="000000"/>
        </w:rPr>
      </w:pPr>
      <w:r w:rsidRPr="00BC2790">
        <w:rPr>
          <w:rFonts w:ascii="Garamond" w:hAnsi="Garamond"/>
          <w:color w:val="000000"/>
        </w:rPr>
        <w:t>The purpose of coding is to cluster bits of information and thus to discover variety, range of emphasis, commonness or uncommonness, and all sorts of patterns of association of ideas and experiences.</w:t>
      </w:r>
    </w:p>
    <w:p w14:paraId="70FC99EC" w14:textId="77777777" w:rsidR="00507820" w:rsidRPr="00BC2790" w:rsidRDefault="00507820" w:rsidP="00BC2790">
      <w:pPr>
        <w:pStyle w:val="ListParagraph"/>
        <w:numPr>
          <w:ilvl w:val="0"/>
          <w:numId w:val="1"/>
        </w:numPr>
        <w:spacing w:line="100" w:lineRule="atLeast"/>
        <w:jc w:val="both"/>
        <w:rPr>
          <w:rFonts w:ascii="Garamond" w:hAnsi="Garamond"/>
          <w:color w:val="000000"/>
        </w:rPr>
      </w:pPr>
      <w:r w:rsidRPr="00BC2790">
        <w:rPr>
          <w:rFonts w:ascii="Garamond" w:hAnsi="Garamond"/>
          <w:color w:val="000000"/>
        </w:rPr>
        <w:t>Every study will use a consistent coding throughout, but it will always be a coding system that has arisen from the specific data in the particular study.</w:t>
      </w:r>
    </w:p>
    <w:p w14:paraId="25A9D87D" w14:textId="77777777" w:rsidR="00507820" w:rsidRPr="00BC2790" w:rsidRDefault="00507820" w:rsidP="00BC2790">
      <w:pPr>
        <w:pStyle w:val="ListParagraph"/>
        <w:numPr>
          <w:ilvl w:val="0"/>
          <w:numId w:val="1"/>
        </w:numPr>
        <w:spacing w:line="100" w:lineRule="atLeast"/>
        <w:jc w:val="both"/>
        <w:rPr>
          <w:rFonts w:ascii="Garamond" w:hAnsi="Garamond"/>
          <w:color w:val="000000"/>
        </w:rPr>
      </w:pPr>
      <w:r w:rsidRPr="00BC2790">
        <w:rPr>
          <w:rFonts w:ascii="Garamond" w:hAnsi="Garamond"/>
          <w:color w:val="000000"/>
        </w:rPr>
        <w:t xml:space="preserve">Make your codes brief—syllables of a letter or two or some symbols—but try to make them easy to remember. You don’t want to have to return to your code book to be reminded at every moment. </w:t>
      </w:r>
    </w:p>
    <w:p w14:paraId="7FE300A8" w14:textId="77777777" w:rsidR="00507820" w:rsidRPr="00BC2790" w:rsidRDefault="00507820" w:rsidP="00BC2790">
      <w:pPr>
        <w:pStyle w:val="ListParagraph"/>
        <w:numPr>
          <w:ilvl w:val="0"/>
          <w:numId w:val="1"/>
        </w:numPr>
        <w:spacing w:line="100" w:lineRule="atLeast"/>
        <w:jc w:val="both"/>
        <w:rPr>
          <w:rFonts w:ascii="Garamond" w:hAnsi="Garamond"/>
          <w:color w:val="000000"/>
        </w:rPr>
      </w:pPr>
      <w:r w:rsidRPr="00BC2790">
        <w:rPr>
          <w:rFonts w:ascii="Garamond" w:hAnsi="Garamond"/>
          <w:color w:val="000000"/>
        </w:rPr>
        <w:t xml:space="preserve">Don’t create codes for things that you don’t have in your data. </w:t>
      </w:r>
    </w:p>
    <w:p w14:paraId="429D37A6" w14:textId="77777777" w:rsidR="00507820" w:rsidRPr="00BC2790" w:rsidRDefault="00507820" w:rsidP="00BC2790">
      <w:pPr>
        <w:pStyle w:val="ListParagraph"/>
        <w:numPr>
          <w:ilvl w:val="0"/>
          <w:numId w:val="1"/>
        </w:numPr>
        <w:spacing w:line="100" w:lineRule="atLeast"/>
        <w:jc w:val="both"/>
        <w:rPr>
          <w:rFonts w:ascii="Garamond" w:hAnsi="Garamond"/>
          <w:color w:val="000000"/>
        </w:rPr>
      </w:pPr>
      <w:r w:rsidRPr="00BC2790">
        <w:rPr>
          <w:rFonts w:ascii="Garamond" w:hAnsi="Garamond"/>
          <w:color w:val="000000"/>
        </w:rPr>
        <w:t>Don’t put every single bit in its own unique code category. That will defeat the purpose.</w:t>
      </w:r>
    </w:p>
    <w:p w14:paraId="56894419" w14:textId="77777777" w:rsidR="00C05ADF" w:rsidRDefault="00C05ADF" w:rsidP="00BC2790">
      <w:pPr>
        <w:spacing w:line="100" w:lineRule="atLeast"/>
        <w:jc w:val="both"/>
        <w:rPr>
          <w:rFonts w:ascii="Garamond" w:hAnsi="Garamond"/>
          <w:b/>
          <w:bCs/>
          <w:color w:val="000000"/>
          <w:sz w:val="28"/>
          <w:szCs w:val="28"/>
        </w:rPr>
      </w:pPr>
    </w:p>
    <w:p w14:paraId="246CB6A5" w14:textId="77777777" w:rsidR="00507820" w:rsidRPr="00BC2790" w:rsidRDefault="00507820" w:rsidP="00BC2790">
      <w:pPr>
        <w:spacing w:line="100" w:lineRule="atLeast"/>
        <w:jc w:val="both"/>
        <w:rPr>
          <w:rFonts w:ascii="Garamond" w:hAnsi="Garamond"/>
          <w:color w:val="000000"/>
          <w:sz w:val="28"/>
          <w:szCs w:val="28"/>
        </w:rPr>
      </w:pPr>
      <w:r w:rsidRPr="00BC2790">
        <w:rPr>
          <w:rFonts w:ascii="Garamond" w:hAnsi="Garamond"/>
          <w:b/>
          <w:bCs/>
          <w:color w:val="000000"/>
          <w:sz w:val="28"/>
          <w:szCs w:val="28"/>
        </w:rPr>
        <w:lastRenderedPageBreak/>
        <w:t>April 22</w:t>
      </w:r>
    </w:p>
    <w:p w14:paraId="79A79B86" w14:textId="77777777" w:rsidR="00507820" w:rsidRPr="00BC2790" w:rsidRDefault="00507820" w:rsidP="00BC2790">
      <w:pPr>
        <w:spacing w:line="100" w:lineRule="atLeast"/>
        <w:jc w:val="both"/>
        <w:rPr>
          <w:rFonts w:ascii="Garamond" w:hAnsi="Garamond"/>
          <w:i/>
          <w:color w:val="000000"/>
        </w:rPr>
      </w:pPr>
      <w:r w:rsidRPr="00BC2790">
        <w:rPr>
          <w:rFonts w:ascii="Garamond" w:hAnsi="Garamond"/>
          <w:bCs/>
          <w:i/>
          <w:color w:val="000000"/>
        </w:rPr>
        <w:t>Sharing outcomes of fieldwork</w:t>
      </w:r>
      <w:r w:rsidR="00177A98" w:rsidRPr="00BC2790">
        <w:rPr>
          <w:rFonts w:ascii="Garamond" w:hAnsi="Garamond"/>
          <w:bCs/>
          <w:i/>
          <w:color w:val="000000"/>
        </w:rPr>
        <w:t xml:space="preserve">: Workshop. </w:t>
      </w:r>
      <w:r w:rsidRPr="00BC2790">
        <w:rPr>
          <w:rFonts w:ascii="Garamond" w:hAnsi="Garamond"/>
          <w:bCs/>
          <w:i/>
          <w:color w:val="000000"/>
        </w:rPr>
        <w:t>Participants must bring marked and coded field notes.</w:t>
      </w:r>
    </w:p>
    <w:p w14:paraId="2E065DBD"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ab/>
      </w:r>
      <w:r w:rsidRPr="00BC2790">
        <w:rPr>
          <w:rFonts w:ascii="Garamond" w:hAnsi="Garamond"/>
          <w:color w:val="000000"/>
          <w:u w:val="single"/>
        </w:rPr>
        <w:t>Step 1.</w:t>
      </w:r>
      <w:r w:rsidRPr="00BC2790">
        <w:rPr>
          <w:rFonts w:ascii="Garamond" w:hAnsi="Garamond"/>
          <w:color w:val="000000"/>
        </w:rPr>
        <w:t xml:space="preserve"> Test your findings for adequacy of detail and thoroughness. Use </w:t>
      </w:r>
      <w:r w:rsidRPr="00BC2790">
        <w:rPr>
          <w:rFonts w:ascii="Garamond" w:hAnsi="Garamond"/>
          <w:i/>
          <w:iCs/>
          <w:color w:val="000000"/>
        </w:rPr>
        <w:t>only</w:t>
      </w:r>
      <w:r w:rsidRPr="00BC2790">
        <w:rPr>
          <w:rFonts w:ascii="Garamond" w:hAnsi="Garamond"/>
          <w:color w:val="000000"/>
        </w:rPr>
        <w:t xml:space="preserve"> your field notes to provide the basis for statements of findings. See how much you can say about what you learned if you limit your statements to things that you can show evidence for in the actual field notes. </w:t>
      </w:r>
      <w:r w:rsidRPr="00BC2790">
        <w:rPr>
          <w:rFonts w:ascii="Garamond" w:hAnsi="Garamond"/>
          <w:i/>
          <w:color w:val="000000"/>
        </w:rPr>
        <w:t>Important</w:t>
      </w:r>
      <w:r w:rsidRPr="00BC2790">
        <w:rPr>
          <w:rFonts w:ascii="Garamond" w:hAnsi="Garamond"/>
          <w:color w:val="000000"/>
        </w:rPr>
        <w:t>: Let your coding system work for you. It should guide you into making statements about tendencies, dominant evidences, exceptions to the general pattern, and such matters.</w:t>
      </w:r>
    </w:p>
    <w:p w14:paraId="4546F174"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ab/>
      </w:r>
      <w:r w:rsidRPr="00BC2790">
        <w:rPr>
          <w:rFonts w:ascii="Garamond" w:hAnsi="Garamond"/>
          <w:color w:val="000000"/>
          <w:u w:val="single"/>
        </w:rPr>
        <w:t>Step 2.</w:t>
      </w:r>
      <w:r w:rsidRPr="00BC2790">
        <w:rPr>
          <w:rFonts w:ascii="Garamond" w:hAnsi="Garamond"/>
          <w:color w:val="000000"/>
        </w:rPr>
        <w:t xml:space="preserve"> Put your findings (statements) from Step 1 together into paragraphs and add whatever is necessary to explain and make an easier-to-read “wholeness” in your statements. </w:t>
      </w:r>
    </w:p>
    <w:p w14:paraId="4DA9C828"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ab/>
      </w:r>
      <w:r w:rsidRPr="00BC2790">
        <w:rPr>
          <w:rFonts w:ascii="Garamond" w:hAnsi="Garamond"/>
          <w:color w:val="000000"/>
          <w:u w:val="single"/>
        </w:rPr>
        <w:t>Step 3.</w:t>
      </w:r>
      <w:r w:rsidRPr="00BC2790">
        <w:rPr>
          <w:rFonts w:ascii="Garamond" w:hAnsi="Garamond"/>
          <w:color w:val="000000"/>
        </w:rPr>
        <w:t xml:space="preserve"> Try to start your actual writing of data-based portions of your fieldwork report using as many of these actually </w:t>
      </w:r>
      <w:r w:rsidRPr="00BC2790">
        <w:rPr>
          <w:rFonts w:ascii="Garamond" w:hAnsi="Garamond"/>
          <w:i/>
          <w:iCs/>
          <w:color w:val="000000"/>
        </w:rPr>
        <w:t>supportable</w:t>
      </w:r>
      <w:r w:rsidRPr="00BC2790">
        <w:rPr>
          <w:rFonts w:ascii="Garamond" w:hAnsi="Garamond"/>
          <w:color w:val="000000"/>
        </w:rPr>
        <w:t xml:space="preserve"> statements as possible. Remember: the essence of scientific work is that you don’t just state opinions; you back up your statements with evidences from your observations or interviews.</w:t>
      </w:r>
    </w:p>
    <w:p w14:paraId="05707848" w14:textId="77777777" w:rsidR="00507820" w:rsidRPr="00BC2790" w:rsidRDefault="00507820" w:rsidP="00BC2790">
      <w:pPr>
        <w:spacing w:line="100" w:lineRule="atLeast"/>
        <w:jc w:val="both"/>
        <w:rPr>
          <w:rFonts w:ascii="Garamond" w:hAnsi="Garamond"/>
          <w:color w:val="000000"/>
        </w:rPr>
      </w:pPr>
    </w:p>
    <w:p w14:paraId="46C31C27" w14:textId="77777777" w:rsidR="00507820" w:rsidRPr="00BC2790" w:rsidRDefault="00507820" w:rsidP="00BC2790">
      <w:pPr>
        <w:spacing w:line="100" w:lineRule="atLeast"/>
        <w:jc w:val="both"/>
        <w:rPr>
          <w:rFonts w:ascii="Garamond" w:hAnsi="Garamond"/>
          <w:color w:val="000000"/>
          <w:sz w:val="28"/>
          <w:szCs w:val="28"/>
        </w:rPr>
      </w:pPr>
      <w:r w:rsidRPr="00BC2790">
        <w:rPr>
          <w:rFonts w:ascii="Garamond" w:hAnsi="Garamond"/>
          <w:b/>
          <w:bCs/>
          <w:color w:val="000000"/>
          <w:sz w:val="28"/>
          <w:szCs w:val="28"/>
        </w:rPr>
        <w:t>April 26</w:t>
      </w:r>
    </w:p>
    <w:p w14:paraId="54ED4316" w14:textId="77777777" w:rsidR="00A80AF6" w:rsidRDefault="00507820" w:rsidP="00A80AF6">
      <w:pPr>
        <w:spacing w:line="100" w:lineRule="atLeast"/>
        <w:jc w:val="both"/>
        <w:rPr>
          <w:rFonts w:ascii="Garamond" w:hAnsi="Garamond"/>
          <w:color w:val="000000"/>
        </w:rPr>
      </w:pPr>
      <w:r w:rsidRPr="00BC2790">
        <w:rPr>
          <w:rFonts w:ascii="Garamond" w:hAnsi="Garamond"/>
          <w:bCs/>
          <w:i/>
          <w:color w:val="000000"/>
        </w:rPr>
        <w:t xml:space="preserve">Using ethnographic procedures within research on missions and education. </w:t>
      </w:r>
      <w:r w:rsidRPr="00BC2790">
        <w:rPr>
          <w:rFonts w:ascii="Garamond" w:hAnsi="Garamond"/>
          <w:color w:val="000000"/>
        </w:rPr>
        <w:t>The task here is to learn to think of missions and educational decision-making questions in terms of ethnographic research. What can ethnographic research do to enlighten and deepen understanding of matter</w:t>
      </w:r>
      <w:r w:rsidR="00A80AF6">
        <w:rPr>
          <w:rFonts w:ascii="Garamond" w:hAnsi="Garamond"/>
          <w:color w:val="000000"/>
        </w:rPr>
        <w:t xml:space="preserve">s of concern in missions? </w:t>
      </w:r>
      <w:r w:rsidRPr="00BC2790">
        <w:rPr>
          <w:rFonts w:ascii="Garamond" w:hAnsi="Garamond"/>
          <w:color w:val="000000"/>
        </w:rPr>
        <w:t xml:space="preserve">in education? </w:t>
      </w:r>
      <w:r w:rsidR="00177A98" w:rsidRPr="00BC2790">
        <w:rPr>
          <w:rFonts w:ascii="Garamond" w:hAnsi="Garamond"/>
          <w:color w:val="000000"/>
        </w:rPr>
        <w:t>Think in terms of the many things that we tend to guess about instead of having reliable information.</w:t>
      </w:r>
    </w:p>
    <w:p w14:paraId="2C7F3B16" w14:textId="77777777" w:rsidR="00A80AF6" w:rsidRDefault="00A80AF6" w:rsidP="00A80AF6">
      <w:pPr>
        <w:spacing w:line="100" w:lineRule="atLeast"/>
        <w:jc w:val="both"/>
        <w:rPr>
          <w:rFonts w:ascii="Garamond" w:hAnsi="Garamond"/>
          <w:color w:val="000000"/>
        </w:rPr>
      </w:pPr>
    </w:p>
    <w:p w14:paraId="33C51F8F" w14:textId="2D3384ED" w:rsidR="00507820" w:rsidRPr="00BC2790" w:rsidRDefault="00177A98" w:rsidP="00A80AF6">
      <w:pPr>
        <w:spacing w:line="100" w:lineRule="atLeast"/>
        <w:jc w:val="both"/>
        <w:rPr>
          <w:rFonts w:ascii="Garamond" w:hAnsi="Garamond"/>
          <w:color w:val="000000"/>
        </w:rPr>
      </w:pPr>
      <w:r w:rsidRPr="00BC2790">
        <w:rPr>
          <w:rFonts w:ascii="Garamond" w:hAnsi="Garamond"/>
          <w:color w:val="000000"/>
        </w:rPr>
        <w:t>U</w:t>
      </w:r>
      <w:r w:rsidR="00507820" w:rsidRPr="00BC2790">
        <w:rPr>
          <w:rFonts w:ascii="Garamond" w:hAnsi="Garamond"/>
          <w:color w:val="000000"/>
        </w:rPr>
        <w:t>se an open brainstorming approach. After the task is introduced, after perhaps 15 minutes, move to groups of four for interaction. After about 15 minutes call attention to one or two examples as created by one or another of the small groups. Then let the groups go back to work for another 15 minutes. Close with the sharing of two mission and two education examples. Following are some suggested guidelines for the leader:</w:t>
      </w:r>
    </w:p>
    <w:p w14:paraId="2C587968" w14:textId="77777777" w:rsidR="00507820" w:rsidRPr="00BC2790" w:rsidRDefault="00507820" w:rsidP="00BC2790">
      <w:pPr>
        <w:spacing w:line="100" w:lineRule="atLeast"/>
        <w:jc w:val="both"/>
        <w:rPr>
          <w:rFonts w:ascii="Garamond" w:hAnsi="Garamond"/>
          <w:color w:val="000000"/>
        </w:rPr>
      </w:pPr>
    </w:p>
    <w:p w14:paraId="5936570F"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Use these guidelines to deal with this issue:</w:t>
      </w:r>
    </w:p>
    <w:p w14:paraId="14B6B0D8" w14:textId="77777777" w:rsidR="00177A98" w:rsidRPr="00BC2790" w:rsidRDefault="00507820" w:rsidP="00BC2790">
      <w:pPr>
        <w:spacing w:line="100" w:lineRule="atLeast"/>
        <w:ind w:firstLine="720"/>
        <w:jc w:val="both"/>
        <w:rPr>
          <w:rFonts w:ascii="Garamond" w:hAnsi="Garamond"/>
          <w:color w:val="000000"/>
        </w:rPr>
      </w:pPr>
      <w:r w:rsidRPr="00BC2790">
        <w:rPr>
          <w:rFonts w:ascii="Garamond" w:hAnsi="Garamond"/>
          <w:color w:val="000000"/>
        </w:rPr>
        <w:t>1. Identify several important decisions and choices relating either to the organizational or ministry tactics and procedures in a specific missions and/or educational task or function.</w:t>
      </w:r>
      <w:r w:rsidRPr="00BC2790">
        <w:rPr>
          <w:rFonts w:ascii="Garamond" w:hAnsi="Garamond"/>
          <w:color w:val="000000"/>
        </w:rPr>
        <w:tab/>
      </w:r>
    </w:p>
    <w:p w14:paraId="3FAB1281" w14:textId="77777777" w:rsidR="00507820" w:rsidRPr="00BC2790" w:rsidRDefault="00507820" w:rsidP="00BC2790">
      <w:pPr>
        <w:spacing w:line="100" w:lineRule="atLeast"/>
        <w:ind w:firstLine="720"/>
        <w:jc w:val="both"/>
        <w:rPr>
          <w:rFonts w:ascii="Garamond" w:hAnsi="Garamond"/>
          <w:i/>
          <w:iCs/>
          <w:color w:val="000000"/>
        </w:rPr>
      </w:pPr>
      <w:r w:rsidRPr="00BC2790">
        <w:rPr>
          <w:rFonts w:ascii="Garamond" w:hAnsi="Garamond"/>
          <w:color w:val="000000"/>
        </w:rPr>
        <w:t xml:space="preserve">2. Use this model for such questions: </w:t>
      </w:r>
      <w:r w:rsidRPr="00BC2790">
        <w:rPr>
          <w:rFonts w:ascii="Garamond" w:hAnsi="Garamond"/>
          <w:i/>
          <w:iCs/>
          <w:color w:val="000000"/>
        </w:rPr>
        <w:t>What should we know more about (understand more clearly) before we make this decision?</w:t>
      </w:r>
      <w:r w:rsidR="00177A98" w:rsidRPr="00BC2790">
        <w:rPr>
          <w:rFonts w:ascii="Garamond" w:hAnsi="Garamond"/>
          <w:i/>
          <w:iCs/>
          <w:color w:val="000000"/>
        </w:rPr>
        <w:t xml:space="preserve"> </w:t>
      </w:r>
      <w:r w:rsidRPr="00BC2790">
        <w:rPr>
          <w:rFonts w:ascii="Garamond" w:hAnsi="Garamond"/>
          <w:i/>
          <w:iCs/>
          <w:color w:val="000000"/>
        </w:rPr>
        <w:t>How could an ethnographic study provide this information?</w:t>
      </w:r>
    </w:p>
    <w:p w14:paraId="20F1B602" w14:textId="3575E9A9" w:rsidR="00507820" w:rsidRPr="00BC2790" w:rsidRDefault="00A80AF6" w:rsidP="00BC2790">
      <w:pPr>
        <w:spacing w:line="100" w:lineRule="atLeast"/>
        <w:jc w:val="center"/>
        <w:rPr>
          <w:rFonts w:ascii="Garamond" w:hAnsi="Garamond"/>
          <w:color w:val="000000"/>
        </w:rPr>
      </w:pPr>
      <w:r>
        <w:rPr>
          <w:rFonts w:ascii="Garamond" w:hAnsi="Garamond"/>
          <w:color w:val="000000"/>
        </w:rPr>
        <w:t xml:space="preserve"> </w:t>
      </w:r>
    </w:p>
    <w:p w14:paraId="73E027B7"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 xml:space="preserve">Use the remaining part of the day for the dyads to continue their “workshop” from yesterday refining and expanding their coded field notes. </w:t>
      </w:r>
    </w:p>
    <w:p w14:paraId="79609223" w14:textId="77777777" w:rsidR="00507820" w:rsidRPr="00BC2790" w:rsidRDefault="00507820" w:rsidP="00BC2790">
      <w:pPr>
        <w:spacing w:line="100" w:lineRule="atLeast"/>
        <w:jc w:val="both"/>
        <w:rPr>
          <w:rFonts w:ascii="Garamond" w:hAnsi="Garamond"/>
          <w:color w:val="000000"/>
        </w:rPr>
      </w:pPr>
    </w:p>
    <w:p w14:paraId="08D32FE5" w14:textId="77777777" w:rsidR="00507820" w:rsidRPr="00BC2790" w:rsidRDefault="00177A98" w:rsidP="00BC2790">
      <w:pPr>
        <w:spacing w:line="100" w:lineRule="atLeast"/>
        <w:jc w:val="both"/>
        <w:rPr>
          <w:rFonts w:ascii="Garamond" w:hAnsi="Garamond"/>
          <w:color w:val="000000"/>
          <w:sz w:val="28"/>
          <w:szCs w:val="28"/>
        </w:rPr>
      </w:pPr>
      <w:r w:rsidRPr="00BC2790">
        <w:rPr>
          <w:rFonts w:ascii="Garamond" w:hAnsi="Garamond"/>
          <w:b/>
          <w:bCs/>
          <w:color w:val="000000"/>
          <w:sz w:val="28"/>
          <w:szCs w:val="28"/>
        </w:rPr>
        <w:t>April 27</w:t>
      </w:r>
    </w:p>
    <w:p w14:paraId="28E11C50" w14:textId="77777777" w:rsidR="00507820" w:rsidRPr="00BC2790" w:rsidRDefault="00507820" w:rsidP="00BC2790">
      <w:pPr>
        <w:spacing w:line="100" w:lineRule="atLeast"/>
        <w:jc w:val="both"/>
        <w:rPr>
          <w:rFonts w:ascii="Garamond" w:hAnsi="Garamond"/>
          <w:bCs/>
          <w:i/>
          <w:color w:val="000000"/>
        </w:rPr>
      </w:pPr>
      <w:r w:rsidRPr="00BC2790">
        <w:rPr>
          <w:rFonts w:ascii="Garamond" w:hAnsi="Garamond"/>
          <w:color w:val="000000"/>
        </w:rPr>
        <w:t xml:space="preserve">A. </w:t>
      </w:r>
      <w:r w:rsidRPr="00BC2790">
        <w:rPr>
          <w:rFonts w:ascii="Garamond" w:hAnsi="Garamond"/>
          <w:bCs/>
          <w:i/>
          <w:color w:val="000000"/>
        </w:rPr>
        <w:t>Procedure for large scale determination of generalizability of major findings.</w:t>
      </w:r>
    </w:p>
    <w:p w14:paraId="51AC065B" w14:textId="6EB159BA" w:rsidR="00507820" w:rsidRPr="00BC2790" w:rsidRDefault="00177A98" w:rsidP="00BC2790">
      <w:pPr>
        <w:spacing w:line="100" w:lineRule="atLeast"/>
        <w:jc w:val="both"/>
        <w:rPr>
          <w:rFonts w:ascii="Garamond" w:hAnsi="Garamond"/>
          <w:color w:val="000000"/>
        </w:rPr>
      </w:pPr>
      <w:r w:rsidRPr="00BC2790">
        <w:rPr>
          <w:rFonts w:ascii="Garamond" w:hAnsi="Garamond"/>
          <w:color w:val="000000"/>
        </w:rPr>
        <w:tab/>
        <w:t>Task</w:t>
      </w:r>
      <w:r w:rsidR="00507820" w:rsidRPr="00BC2790">
        <w:rPr>
          <w:rFonts w:ascii="Garamond" w:hAnsi="Garamond"/>
          <w:color w:val="000000"/>
        </w:rPr>
        <w:t>: To relate the doing of ethnographic research to the larger realm of research, especially to surveys and experimentation.</w:t>
      </w:r>
      <w:r w:rsidR="00A80AF6">
        <w:rPr>
          <w:rFonts w:ascii="Garamond" w:hAnsi="Garamond"/>
          <w:color w:val="000000"/>
        </w:rPr>
        <w:t xml:space="preserve"> </w:t>
      </w:r>
      <w:bookmarkStart w:id="0" w:name="_GoBack"/>
      <w:bookmarkEnd w:id="0"/>
      <w:r w:rsidR="00507820" w:rsidRPr="00BC2790">
        <w:rPr>
          <w:rFonts w:ascii="Garamond" w:hAnsi="Garamond"/>
          <w:color w:val="000000"/>
        </w:rPr>
        <w:t>Ethnography is almost always used in small-sample studies. To get to large samples and cross-cultural generalizations usually requires instrumentation  questionnaires</w:t>
      </w:r>
    </w:p>
    <w:p w14:paraId="4F7CB683" w14:textId="77777777" w:rsidR="00507820" w:rsidRPr="00BC2790" w:rsidRDefault="00507820" w:rsidP="00BC2790">
      <w:pPr>
        <w:spacing w:line="100" w:lineRule="atLeast"/>
        <w:jc w:val="both"/>
        <w:rPr>
          <w:rFonts w:ascii="Garamond" w:hAnsi="Garamond"/>
          <w:color w:val="000000"/>
        </w:rPr>
      </w:pPr>
    </w:p>
    <w:p w14:paraId="7E72972D" w14:textId="77777777" w:rsidR="00507820" w:rsidRPr="00BC2790" w:rsidRDefault="00507820" w:rsidP="00BC2790">
      <w:pPr>
        <w:spacing w:line="100" w:lineRule="atLeast"/>
        <w:jc w:val="both"/>
        <w:rPr>
          <w:rFonts w:ascii="Garamond" w:hAnsi="Garamond"/>
          <w:b/>
          <w:bCs/>
          <w:color w:val="000000"/>
        </w:rPr>
      </w:pPr>
      <w:r w:rsidRPr="00BC2790">
        <w:rPr>
          <w:rFonts w:ascii="Garamond" w:hAnsi="Garamond"/>
          <w:color w:val="000000"/>
        </w:rPr>
        <w:t xml:space="preserve">B. </w:t>
      </w:r>
      <w:r w:rsidRPr="00BC2790">
        <w:rPr>
          <w:rFonts w:ascii="Garamond" w:hAnsi="Garamond"/>
          <w:bCs/>
          <w:i/>
          <w:color w:val="000000"/>
        </w:rPr>
        <w:t>Procedures for developing Likert-response instruments.</w:t>
      </w:r>
    </w:p>
    <w:p w14:paraId="0D1EA684" w14:textId="77777777" w:rsidR="00507820" w:rsidRPr="00BC2790" w:rsidRDefault="00177A98" w:rsidP="00BC2790">
      <w:pPr>
        <w:spacing w:line="100" w:lineRule="atLeast"/>
        <w:jc w:val="both"/>
        <w:rPr>
          <w:rFonts w:ascii="Garamond" w:hAnsi="Garamond"/>
          <w:color w:val="000000"/>
        </w:rPr>
      </w:pPr>
      <w:r w:rsidRPr="00BC2790">
        <w:rPr>
          <w:rFonts w:ascii="Garamond" w:hAnsi="Garamond"/>
          <w:color w:val="000000"/>
        </w:rPr>
        <w:tab/>
      </w:r>
      <w:r w:rsidR="00507820" w:rsidRPr="00BC2790">
        <w:rPr>
          <w:rFonts w:ascii="Garamond" w:hAnsi="Garamond"/>
          <w:color w:val="000000"/>
        </w:rPr>
        <w:t>T</w:t>
      </w:r>
      <w:r w:rsidRPr="00BC2790">
        <w:rPr>
          <w:rFonts w:ascii="Garamond" w:hAnsi="Garamond"/>
          <w:color w:val="000000"/>
        </w:rPr>
        <w:t>ask</w:t>
      </w:r>
      <w:r w:rsidR="00507820" w:rsidRPr="00BC2790">
        <w:rPr>
          <w:rFonts w:ascii="Garamond" w:hAnsi="Garamond"/>
          <w:color w:val="000000"/>
        </w:rPr>
        <w:t xml:space="preserve">: To learn the basic skills of inquiry into attitude and understanding through the short-response </w:t>
      </w:r>
      <w:r w:rsidRPr="00BC2790">
        <w:rPr>
          <w:rFonts w:ascii="Garamond" w:hAnsi="Garamond"/>
          <w:color w:val="000000"/>
        </w:rPr>
        <w:t>items called “Likert items.</w:t>
      </w:r>
      <w:r w:rsidR="00507820" w:rsidRPr="00BC2790">
        <w:rPr>
          <w:rFonts w:ascii="Garamond" w:hAnsi="Garamond"/>
          <w:color w:val="000000"/>
        </w:rPr>
        <w:t xml:space="preserve">” The name </w:t>
      </w:r>
      <w:r w:rsidR="00507820" w:rsidRPr="00BC2790">
        <w:rPr>
          <w:rFonts w:ascii="Garamond" w:hAnsi="Garamond"/>
          <w:i/>
          <w:iCs/>
          <w:color w:val="000000"/>
        </w:rPr>
        <w:t>Likert</w:t>
      </w:r>
      <w:r w:rsidR="00507820" w:rsidRPr="00BC2790">
        <w:rPr>
          <w:rFonts w:ascii="Garamond" w:hAnsi="Garamond"/>
          <w:color w:val="000000"/>
        </w:rPr>
        <w:t xml:space="preserve"> honors the social scientist who invented this simple but elegant procedure for designing items that explore attitudes, feelings, bias, presuppositions and interpretation of ideas.</w:t>
      </w:r>
    </w:p>
    <w:p w14:paraId="6BE6D185"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 xml:space="preserve">Likert items need to be 1) </w:t>
      </w:r>
      <w:r w:rsidR="00177A98" w:rsidRPr="00BC2790">
        <w:rPr>
          <w:rFonts w:ascii="Garamond" w:hAnsi="Garamond"/>
          <w:i/>
          <w:color w:val="000000"/>
        </w:rPr>
        <w:t>Short</w:t>
      </w:r>
      <w:r w:rsidRPr="00BC2790">
        <w:rPr>
          <w:rFonts w:ascii="Garamond" w:hAnsi="Garamond"/>
          <w:color w:val="000000"/>
        </w:rPr>
        <w:t xml:space="preserve"> statements;</w:t>
      </w:r>
    </w:p>
    <w:p w14:paraId="1100C4AB" w14:textId="77777777" w:rsidR="00507820" w:rsidRPr="00BC2790" w:rsidRDefault="00507820" w:rsidP="00BC2790">
      <w:pPr>
        <w:spacing w:line="100" w:lineRule="atLeast"/>
        <w:ind w:firstLine="2160"/>
        <w:jc w:val="both"/>
        <w:rPr>
          <w:rFonts w:ascii="Garamond" w:hAnsi="Garamond"/>
          <w:color w:val="000000"/>
        </w:rPr>
      </w:pPr>
      <w:r w:rsidRPr="00BC2790">
        <w:rPr>
          <w:rFonts w:ascii="Garamond" w:hAnsi="Garamond"/>
          <w:color w:val="000000"/>
        </w:rPr>
        <w:tab/>
        <w:t xml:space="preserve">2) </w:t>
      </w:r>
      <w:r w:rsidR="00177A98" w:rsidRPr="00BC2790">
        <w:rPr>
          <w:rFonts w:ascii="Garamond" w:hAnsi="Garamond"/>
          <w:color w:val="000000"/>
        </w:rPr>
        <w:t>S</w:t>
      </w:r>
      <w:r w:rsidR="00177A98" w:rsidRPr="00BC2790">
        <w:rPr>
          <w:rFonts w:ascii="Garamond" w:hAnsi="Garamond"/>
          <w:i/>
          <w:color w:val="000000"/>
        </w:rPr>
        <w:t>trongly worded assertive</w:t>
      </w:r>
      <w:r w:rsidRPr="00BC2790">
        <w:rPr>
          <w:rFonts w:ascii="Garamond" w:hAnsi="Garamond"/>
          <w:color w:val="000000"/>
        </w:rPr>
        <w:t xml:space="preserve"> statements;</w:t>
      </w:r>
    </w:p>
    <w:p w14:paraId="65859695" w14:textId="77777777" w:rsidR="00507820" w:rsidRPr="00BC2790" w:rsidRDefault="00507820" w:rsidP="00BC2790">
      <w:pPr>
        <w:spacing w:line="100" w:lineRule="atLeast"/>
        <w:ind w:firstLine="3600"/>
        <w:jc w:val="both"/>
        <w:rPr>
          <w:rFonts w:ascii="Garamond" w:hAnsi="Garamond"/>
          <w:color w:val="000000"/>
        </w:rPr>
      </w:pPr>
      <w:r w:rsidRPr="00BC2790">
        <w:rPr>
          <w:rFonts w:ascii="Garamond" w:hAnsi="Garamond"/>
          <w:color w:val="000000"/>
        </w:rPr>
        <w:t xml:space="preserve">3) </w:t>
      </w:r>
      <w:r w:rsidR="00177A98" w:rsidRPr="00BC2790">
        <w:rPr>
          <w:rFonts w:ascii="Garamond" w:hAnsi="Garamond"/>
          <w:i/>
          <w:color w:val="000000"/>
        </w:rPr>
        <w:t>Singular</w:t>
      </w:r>
      <w:r w:rsidRPr="00BC2790">
        <w:rPr>
          <w:rFonts w:ascii="Garamond" w:hAnsi="Garamond"/>
          <w:color w:val="000000"/>
        </w:rPr>
        <w:t xml:space="preserve"> statements;</w:t>
      </w:r>
    </w:p>
    <w:p w14:paraId="50EEB063" w14:textId="77777777" w:rsidR="00507820" w:rsidRPr="00BC2790" w:rsidRDefault="00507820" w:rsidP="00BC2790">
      <w:pPr>
        <w:spacing w:line="100" w:lineRule="atLeast"/>
        <w:ind w:firstLine="4320"/>
        <w:jc w:val="both"/>
        <w:rPr>
          <w:rFonts w:ascii="Garamond" w:hAnsi="Garamond"/>
          <w:color w:val="000000"/>
        </w:rPr>
      </w:pPr>
      <w:r w:rsidRPr="00BC2790">
        <w:rPr>
          <w:rFonts w:ascii="Garamond" w:hAnsi="Garamond"/>
          <w:color w:val="000000"/>
        </w:rPr>
        <w:t xml:space="preserve">4) free of  </w:t>
      </w:r>
      <w:r w:rsidR="00177A98" w:rsidRPr="00BC2790">
        <w:rPr>
          <w:rFonts w:ascii="Garamond" w:hAnsi="Garamond"/>
          <w:i/>
          <w:color w:val="000000"/>
        </w:rPr>
        <w:t>Odious presuppositions</w:t>
      </w:r>
      <w:r w:rsidRPr="00BC2790">
        <w:rPr>
          <w:rFonts w:ascii="Garamond" w:hAnsi="Garamond"/>
          <w:color w:val="000000"/>
        </w:rPr>
        <w:t>.</w:t>
      </w:r>
    </w:p>
    <w:p w14:paraId="6FF1B322" w14:textId="77777777" w:rsidR="00507820" w:rsidRPr="00BC2790" w:rsidRDefault="00507820" w:rsidP="00BC2790">
      <w:pPr>
        <w:spacing w:line="100" w:lineRule="atLeast"/>
        <w:jc w:val="both"/>
        <w:rPr>
          <w:rFonts w:ascii="Garamond" w:hAnsi="Garamond"/>
          <w:color w:val="000000"/>
        </w:rPr>
      </w:pPr>
    </w:p>
    <w:p w14:paraId="26721225"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A Likert instrument can look like the example following. It does not need more detail.</w:t>
      </w:r>
    </w:p>
    <w:p w14:paraId="012ED369" w14:textId="77777777" w:rsidR="00507820" w:rsidRPr="00BC2790" w:rsidRDefault="00507820" w:rsidP="00BC2790">
      <w:pPr>
        <w:spacing w:line="100" w:lineRule="atLeast"/>
        <w:jc w:val="both"/>
        <w:rPr>
          <w:rFonts w:ascii="Garamond" w:hAnsi="Garamond"/>
          <w:color w:val="000000"/>
        </w:rPr>
      </w:pPr>
    </w:p>
    <w:p w14:paraId="7C711EEF" w14:textId="77777777" w:rsidR="00C43A44" w:rsidRPr="00BC2790" w:rsidRDefault="00C43A44" w:rsidP="00BC2790">
      <w:pPr>
        <w:spacing w:line="100" w:lineRule="atLeast"/>
        <w:ind w:firstLine="5040"/>
        <w:jc w:val="both"/>
        <w:rPr>
          <w:rFonts w:ascii="Garamond" w:hAnsi="Garamond"/>
          <w:b/>
          <w:color w:val="000000"/>
          <w:sz w:val="22"/>
          <w:szCs w:val="22"/>
        </w:rPr>
      </w:pPr>
      <w:r w:rsidRPr="00BC2790">
        <w:rPr>
          <w:rFonts w:ascii="Garamond" w:hAnsi="Garamond"/>
          <w:color w:val="000000"/>
          <w:sz w:val="22"/>
          <w:szCs w:val="22"/>
        </w:rPr>
        <w:t xml:space="preserve">                      </w:t>
      </w:r>
      <w:r w:rsidRPr="00BC2790">
        <w:rPr>
          <w:rFonts w:ascii="Garamond" w:hAnsi="Garamond"/>
          <w:b/>
          <w:color w:val="000000"/>
          <w:sz w:val="22"/>
          <w:szCs w:val="22"/>
        </w:rPr>
        <w:t xml:space="preserve">Strongly                      Strongly </w:t>
      </w:r>
    </w:p>
    <w:p w14:paraId="1ABCB515" w14:textId="77777777" w:rsidR="00C43A44" w:rsidRPr="00BC2790" w:rsidRDefault="00C43A44" w:rsidP="00BC2790">
      <w:pPr>
        <w:spacing w:line="100" w:lineRule="atLeast"/>
        <w:ind w:firstLine="5040"/>
        <w:jc w:val="both"/>
        <w:rPr>
          <w:rFonts w:ascii="Garamond" w:hAnsi="Garamond"/>
          <w:b/>
          <w:color w:val="000000"/>
          <w:sz w:val="22"/>
          <w:szCs w:val="22"/>
        </w:rPr>
      </w:pPr>
      <w:r w:rsidRPr="00BC2790">
        <w:rPr>
          <w:rFonts w:ascii="Garamond" w:hAnsi="Garamond"/>
          <w:b/>
          <w:color w:val="000000"/>
          <w:sz w:val="22"/>
          <w:szCs w:val="22"/>
        </w:rPr>
        <w:tab/>
        <w:t xml:space="preserve">           Agree</w:t>
      </w:r>
      <w:r w:rsidRPr="00BC2790">
        <w:rPr>
          <w:rFonts w:ascii="Garamond" w:hAnsi="Garamond"/>
          <w:b/>
          <w:color w:val="000000"/>
          <w:sz w:val="22"/>
          <w:szCs w:val="22"/>
        </w:rPr>
        <w:tab/>
        <w:t xml:space="preserve">                  Disagree            </w:t>
      </w:r>
    </w:p>
    <w:p w14:paraId="547BA831" w14:textId="77777777" w:rsidR="00507820" w:rsidRPr="00BC2790" w:rsidRDefault="00C43A44" w:rsidP="00BC2790">
      <w:pPr>
        <w:spacing w:line="100" w:lineRule="atLeast"/>
        <w:ind w:firstLine="5040"/>
        <w:jc w:val="both"/>
        <w:rPr>
          <w:rFonts w:ascii="Garamond" w:hAnsi="Garamond"/>
          <w:color w:val="000000"/>
          <w:sz w:val="22"/>
          <w:szCs w:val="22"/>
        </w:rPr>
      </w:pPr>
      <w:r w:rsidRPr="00BC2790">
        <w:rPr>
          <w:rFonts w:ascii="Garamond" w:hAnsi="Garamond"/>
          <w:color w:val="000000"/>
          <w:sz w:val="22"/>
          <w:szCs w:val="22"/>
        </w:rPr>
        <w:t xml:space="preserve">                    </w:t>
      </w:r>
      <w:r w:rsidR="00507820" w:rsidRPr="00BC2790">
        <w:rPr>
          <w:rFonts w:ascii="Garamond" w:hAnsi="Garamond"/>
          <w:color w:val="000000"/>
          <w:sz w:val="22"/>
          <w:szCs w:val="22"/>
        </w:rPr>
        <w:t xml:space="preserve">               </w:t>
      </w:r>
      <w:r w:rsidRPr="00BC2790">
        <w:rPr>
          <w:rFonts w:ascii="Garamond" w:hAnsi="Garamond"/>
          <w:color w:val="000000"/>
          <w:sz w:val="22"/>
          <w:szCs w:val="22"/>
        </w:rPr>
        <w:t xml:space="preserve"> </w:t>
      </w:r>
    </w:p>
    <w:p w14:paraId="26F0372B" w14:textId="77777777" w:rsidR="00507820" w:rsidRPr="00BC2790" w:rsidRDefault="00507820" w:rsidP="00BC2790">
      <w:pPr>
        <w:spacing w:line="100" w:lineRule="atLeast"/>
        <w:jc w:val="both"/>
        <w:rPr>
          <w:rFonts w:ascii="Garamond" w:hAnsi="Garamond"/>
          <w:color w:val="000000"/>
          <w:sz w:val="22"/>
          <w:szCs w:val="22"/>
        </w:rPr>
      </w:pPr>
      <w:r w:rsidRPr="00BC2790">
        <w:rPr>
          <w:rFonts w:ascii="Garamond" w:hAnsi="Garamond"/>
          <w:color w:val="000000"/>
          <w:sz w:val="22"/>
          <w:szCs w:val="22"/>
        </w:rPr>
        <w:t xml:space="preserve">A survey can be a good method for getting quantifiable data.    </w:t>
      </w:r>
      <w:r w:rsidR="00177A98" w:rsidRPr="00BC2790">
        <w:rPr>
          <w:rFonts w:ascii="Garamond" w:hAnsi="Garamond"/>
          <w:color w:val="000000"/>
          <w:sz w:val="22"/>
          <w:szCs w:val="22"/>
        </w:rPr>
        <w:tab/>
      </w:r>
      <w:r w:rsidR="00C43A44" w:rsidRPr="00BC2790">
        <w:rPr>
          <w:rFonts w:ascii="Garamond" w:hAnsi="Garamond"/>
          <w:color w:val="000000"/>
          <w:sz w:val="22"/>
          <w:szCs w:val="22"/>
        </w:rPr>
        <w:tab/>
      </w:r>
      <w:r w:rsidRPr="00BC2790">
        <w:rPr>
          <w:rFonts w:ascii="Garamond" w:hAnsi="Garamond"/>
          <w:color w:val="000000"/>
          <w:sz w:val="22"/>
          <w:szCs w:val="22"/>
        </w:rPr>
        <w:t xml:space="preserve">1        2        3        4       5 </w:t>
      </w:r>
    </w:p>
    <w:p w14:paraId="68813E84" w14:textId="77777777" w:rsidR="00507820" w:rsidRPr="00BC2790" w:rsidRDefault="00507820" w:rsidP="00BC2790">
      <w:pPr>
        <w:spacing w:line="100" w:lineRule="atLeast"/>
        <w:jc w:val="both"/>
        <w:rPr>
          <w:rFonts w:ascii="Garamond" w:hAnsi="Garamond"/>
          <w:color w:val="000000"/>
          <w:sz w:val="22"/>
          <w:szCs w:val="22"/>
        </w:rPr>
      </w:pPr>
    </w:p>
    <w:p w14:paraId="41483C3F" w14:textId="77777777" w:rsidR="00177A98" w:rsidRPr="00BC2790" w:rsidRDefault="00507820" w:rsidP="00BC2790">
      <w:pPr>
        <w:spacing w:line="100" w:lineRule="atLeast"/>
        <w:jc w:val="both"/>
        <w:rPr>
          <w:rFonts w:ascii="Garamond" w:hAnsi="Garamond"/>
          <w:color w:val="000000"/>
          <w:sz w:val="22"/>
          <w:szCs w:val="22"/>
        </w:rPr>
      </w:pPr>
      <w:r w:rsidRPr="00BC2790">
        <w:rPr>
          <w:rFonts w:ascii="Garamond" w:hAnsi="Garamond"/>
          <w:color w:val="000000"/>
          <w:sz w:val="22"/>
          <w:szCs w:val="22"/>
        </w:rPr>
        <w:t xml:space="preserve">Writing good survey items requires knowing how people </w:t>
      </w:r>
    </w:p>
    <w:p w14:paraId="0B3C251E" w14:textId="77777777" w:rsidR="00507820" w:rsidRPr="00BC2790" w:rsidRDefault="00507820" w:rsidP="00BC2790">
      <w:pPr>
        <w:spacing w:line="100" w:lineRule="atLeast"/>
        <w:jc w:val="both"/>
        <w:rPr>
          <w:rFonts w:ascii="Garamond" w:hAnsi="Garamond"/>
          <w:color w:val="000000"/>
          <w:sz w:val="22"/>
          <w:szCs w:val="22"/>
        </w:rPr>
      </w:pPr>
      <w:r w:rsidRPr="00BC2790">
        <w:rPr>
          <w:rFonts w:ascii="Garamond" w:hAnsi="Garamond"/>
          <w:color w:val="000000"/>
          <w:sz w:val="22"/>
          <w:szCs w:val="22"/>
        </w:rPr>
        <w:t>say things.</w:t>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Pr="00BC2790">
        <w:rPr>
          <w:rFonts w:ascii="Garamond" w:hAnsi="Garamond"/>
          <w:color w:val="000000"/>
          <w:sz w:val="22"/>
          <w:szCs w:val="22"/>
        </w:rPr>
        <w:t xml:space="preserve">1        2        3        4        5   </w:t>
      </w:r>
    </w:p>
    <w:p w14:paraId="1D68966A" w14:textId="77777777" w:rsidR="00507820" w:rsidRPr="00BC2790" w:rsidRDefault="00507820" w:rsidP="00BC2790">
      <w:pPr>
        <w:spacing w:line="100" w:lineRule="atLeast"/>
        <w:jc w:val="both"/>
        <w:rPr>
          <w:rFonts w:ascii="Garamond" w:hAnsi="Garamond"/>
          <w:color w:val="000000"/>
          <w:sz w:val="22"/>
          <w:szCs w:val="22"/>
        </w:rPr>
      </w:pPr>
    </w:p>
    <w:p w14:paraId="505F21EB" w14:textId="77777777" w:rsidR="00177A98" w:rsidRPr="00BC2790" w:rsidRDefault="00507820" w:rsidP="00BC2790">
      <w:pPr>
        <w:spacing w:line="100" w:lineRule="atLeast"/>
        <w:jc w:val="both"/>
        <w:rPr>
          <w:rFonts w:ascii="Garamond" w:hAnsi="Garamond"/>
          <w:color w:val="000000"/>
          <w:sz w:val="22"/>
          <w:szCs w:val="22"/>
        </w:rPr>
      </w:pPr>
      <w:r w:rsidRPr="00BC2790">
        <w:rPr>
          <w:rFonts w:ascii="Garamond" w:hAnsi="Garamond"/>
          <w:color w:val="000000"/>
          <w:sz w:val="22"/>
          <w:szCs w:val="22"/>
        </w:rPr>
        <w:t xml:space="preserve">Major findings of an ethnological study can be tested </w:t>
      </w:r>
    </w:p>
    <w:p w14:paraId="6CA52429" w14:textId="77777777" w:rsidR="00507820" w:rsidRPr="00BC2790" w:rsidRDefault="00507820" w:rsidP="00BC2790">
      <w:pPr>
        <w:spacing w:line="100" w:lineRule="atLeast"/>
        <w:jc w:val="both"/>
        <w:rPr>
          <w:rFonts w:ascii="Garamond" w:hAnsi="Garamond"/>
          <w:color w:val="000000"/>
          <w:sz w:val="22"/>
          <w:szCs w:val="22"/>
        </w:rPr>
      </w:pPr>
      <w:r w:rsidRPr="00BC2790">
        <w:rPr>
          <w:rFonts w:ascii="Garamond" w:hAnsi="Garamond"/>
          <w:color w:val="000000"/>
          <w:sz w:val="22"/>
          <w:szCs w:val="22"/>
        </w:rPr>
        <w:t xml:space="preserve">in a survey. </w:t>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00177A98" w:rsidRPr="00BC2790">
        <w:rPr>
          <w:rFonts w:ascii="Garamond" w:hAnsi="Garamond"/>
          <w:color w:val="000000"/>
          <w:sz w:val="22"/>
          <w:szCs w:val="22"/>
        </w:rPr>
        <w:tab/>
      </w:r>
      <w:r w:rsidRPr="00BC2790">
        <w:rPr>
          <w:rFonts w:ascii="Garamond" w:hAnsi="Garamond"/>
          <w:color w:val="000000"/>
          <w:sz w:val="22"/>
          <w:szCs w:val="22"/>
        </w:rPr>
        <w:t xml:space="preserve">1        2        3        4        5   </w:t>
      </w:r>
    </w:p>
    <w:p w14:paraId="16693966" w14:textId="77777777" w:rsidR="00507820" w:rsidRPr="00BC2790" w:rsidRDefault="00507820" w:rsidP="00BC2790">
      <w:pPr>
        <w:spacing w:line="100" w:lineRule="atLeast"/>
        <w:jc w:val="both"/>
        <w:rPr>
          <w:rFonts w:ascii="Garamond" w:hAnsi="Garamond"/>
          <w:color w:val="000000"/>
        </w:rPr>
      </w:pPr>
    </w:p>
    <w:p w14:paraId="5DCBC54F" w14:textId="77777777" w:rsidR="00507820" w:rsidRPr="00BC2790" w:rsidRDefault="00507820" w:rsidP="00BC2790">
      <w:pPr>
        <w:spacing w:line="100" w:lineRule="atLeast"/>
        <w:jc w:val="both"/>
        <w:rPr>
          <w:rFonts w:ascii="Garamond" w:hAnsi="Garamond"/>
          <w:color w:val="000000"/>
        </w:rPr>
      </w:pPr>
    </w:p>
    <w:p w14:paraId="6D5D5DEF"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Consider these sample items:</w:t>
      </w:r>
    </w:p>
    <w:p w14:paraId="31E98BCB" w14:textId="77777777" w:rsidR="00507820" w:rsidRPr="00BC2790" w:rsidRDefault="00507820" w:rsidP="00BC2790">
      <w:pPr>
        <w:pStyle w:val="ListParagraph"/>
        <w:numPr>
          <w:ilvl w:val="0"/>
          <w:numId w:val="2"/>
        </w:numPr>
        <w:spacing w:line="100" w:lineRule="atLeast"/>
        <w:jc w:val="both"/>
        <w:rPr>
          <w:rFonts w:ascii="Garamond" w:hAnsi="Garamond"/>
          <w:color w:val="000000"/>
        </w:rPr>
      </w:pPr>
      <w:r w:rsidRPr="00BC2790">
        <w:rPr>
          <w:rFonts w:ascii="Garamond" w:hAnsi="Garamond"/>
          <w:color w:val="000000"/>
        </w:rPr>
        <w:t xml:space="preserve">Grapes are my favorite fruit. </w:t>
      </w:r>
      <w:r w:rsidR="00177A98" w:rsidRPr="00BC2790">
        <w:rPr>
          <w:rFonts w:ascii="Garamond" w:hAnsi="Garamond"/>
          <w:color w:val="000000"/>
        </w:rPr>
        <w:t>(S</w:t>
      </w:r>
      <w:r w:rsidRPr="00BC2790">
        <w:rPr>
          <w:rFonts w:ascii="Garamond" w:hAnsi="Garamond"/>
          <w:color w:val="000000"/>
        </w:rPr>
        <w:t>hort, strongly worded</w:t>
      </w:r>
      <w:r w:rsidR="00177A98" w:rsidRPr="00BC2790">
        <w:rPr>
          <w:rFonts w:ascii="Garamond" w:hAnsi="Garamond"/>
          <w:color w:val="000000"/>
        </w:rPr>
        <w:t>,</w:t>
      </w:r>
      <w:r w:rsidRPr="00BC2790">
        <w:rPr>
          <w:rFonts w:ascii="Garamond" w:hAnsi="Garamond"/>
          <w:color w:val="000000"/>
        </w:rPr>
        <w:t xml:space="preserve"> assertive, singular</w:t>
      </w:r>
      <w:r w:rsidR="00177A98" w:rsidRPr="00BC2790">
        <w:rPr>
          <w:rFonts w:ascii="Garamond" w:hAnsi="Garamond"/>
          <w:color w:val="000000"/>
        </w:rPr>
        <w:t>)</w:t>
      </w:r>
      <w:r w:rsidRPr="00BC2790">
        <w:rPr>
          <w:rFonts w:ascii="Garamond" w:hAnsi="Garamond"/>
          <w:color w:val="000000"/>
        </w:rPr>
        <w:tab/>
        <w:t xml:space="preserve"> </w:t>
      </w:r>
    </w:p>
    <w:p w14:paraId="67A4A8DC" w14:textId="77777777" w:rsidR="00507820" w:rsidRPr="00BC2790" w:rsidRDefault="00507820" w:rsidP="00BC2790">
      <w:pPr>
        <w:pStyle w:val="ListParagraph"/>
        <w:numPr>
          <w:ilvl w:val="0"/>
          <w:numId w:val="2"/>
        </w:numPr>
        <w:spacing w:line="100" w:lineRule="atLeast"/>
        <w:jc w:val="both"/>
        <w:rPr>
          <w:rFonts w:ascii="Garamond" w:hAnsi="Garamond"/>
          <w:b/>
          <w:bCs/>
          <w:i/>
          <w:iCs/>
          <w:color w:val="000000"/>
        </w:rPr>
      </w:pPr>
      <w:r w:rsidRPr="00BC2790">
        <w:rPr>
          <w:rFonts w:ascii="Garamond" w:hAnsi="Garamond"/>
          <w:color w:val="000000"/>
        </w:rPr>
        <w:t>I like to hear Spanish because it is</w:t>
      </w:r>
      <w:r w:rsidR="00C43A44" w:rsidRPr="00BC2790">
        <w:rPr>
          <w:rFonts w:ascii="Garamond" w:hAnsi="Garamond"/>
          <w:color w:val="000000"/>
        </w:rPr>
        <w:t xml:space="preserve"> </w:t>
      </w:r>
      <w:r w:rsidR="00177A98" w:rsidRPr="00BC2790">
        <w:rPr>
          <w:rFonts w:ascii="Garamond" w:hAnsi="Garamond"/>
          <w:color w:val="000000"/>
        </w:rPr>
        <w:t>such a pretty language.</w:t>
      </w:r>
      <w:r w:rsidRPr="00BC2790">
        <w:rPr>
          <w:rFonts w:ascii="Garamond" w:hAnsi="Garamond"/>
          <w:color w:val="000000"/>
        </w:rPr>
        <w:t xml:space="preserve"> </w:t>
      </w:r>
      <w:r w:rsidR="00177A98" w:rsidRPr="00BC2790">
        <w:rPr>
          <w:rFonts w:ascii="Garamond" w:hAnsi="Garamond"/>
          <w:color w:val="000000"/>
        </w:rPr>
        <w:t>(N</w:t>
      </w:r>
      <w:r w:rsidRPr="00BC2790">
        <w:rPr>
          <w:rFonts w:ascii="Garamond" w:hAnsi="Garamond"/>
          <w:color w:val="000000"/>
        </w:rPr>
        <w:t xml:space="preserve">ot singular! Which part will the response relate to?  </w:t>
      </w:r>
      <w:r w:rsidRPr="00BC2790">
        <w:rPr>
          <w:rFonts w:ascii="Garamond" w:hAnsi="Garamond"/>
          <w:bCs/>
          <w:i/>
          <w:iCs/>
          <w:color w:val="000000"/>
        </w:rPr>
        <w:t>Like to hear Spanish</w:t>
      </w:r>
      <w:r w:rsidRPr="00BC2790">
        <w:rPr>
          <w:rFonts w:ascii="Garamond" w:hAnsi="Garamond"/>
          <w:i/>
          <w:iCs/>
          <w:color w:val="000000"/>
        </w:rPr>
        <w:t>;</w:t>
      </w:r>
      <w:r w:rsidRPr="00BC2790">
        <w:rPr>
          <w:rFonts w:ascii="Garamond" w:hAnsi="Garamond"/>
          <w:color w:val="000000"/>
        </w:rPr>
        <w:t xml:space="preserve"> or </w:t>
      </w:r>
      <w:r w:rsidRPr="00BC2790">
        <w:rPr>
          <w:rFonts w:ascii="Garamond" w:hAnsi="Garamond"/>
          <w:bCs/>
          <w:i/>
          <w:iCs/>
          <w:color w:val="000000"/>
        </w:rPr>
        <w:t>it is a pretty language</w:t>
      </w:r>
      <w:r w:rsidR="00177A98" w:rsidRPr="00BC2790">
        <w:rPr>
          <w:rFonts w:ascii="Garamond" w:hAnsi="Garamond"/>
          <w:bCs/>
          <w:iCs/>
          <w:color w:val="000000"/>
        </w:rPr>
        <w:t>)?</w:t>
      </w:r>
    </w:p>
    <w:p w14:paraId="32EEF004" w14:textId="77777777" w:rsidR="00507820" w:rsidRPr="00BC2790" w:rsidRDefault="00507820" w:rsidP="00BC2790">
      <w:pPr>
        <w:pStyle w:val="ListParagraph"/>
        <w:numPr>
          <w:ilvl w:val="0"/>
          <w:numId w:val="2"/>
        </w:numPr>
        <w:spacing w:line="100" w:lineRule="atLeast"/>
        <w:jc w:val="both"/>
        <w:rPr>
          <w:rFonts w:ascii="Garamond" w:hAnsi="Garamond"/>
          <w:color w:val="000000"/>
        </w:rPr>
      </w:pPr>
      <w:r w:rsidRPr="00BC2790">
        <w:rPr>
          <w:rFonts w:ascii="Garamond" w:hAnsi="Garamond"/>
          <w:color w:val="000000"/>
        </w:rPr>
        <w:t xml:space="preserve">The best colonial masters were the English. </w:t>
      </w:r>
      <w:r w:rsidR="00177A98" w:rsidRPr="00BC2790">
        <w:rPr>
          <w:rFonts w:ascii="Garamond" w:hAnsi="Garamond"/>
          <w:color w:val="000000"/>
        </w:rPr>
        <w:t>(</w:t>
      </w:r>
      <w:r w:rsidRPr="00BC2790">
        <w:rPr>
          <w:rFonts w:ascii="Garamond" w:hAnsi="Garamond"/>
          <w:color w:val="000000"/>
        </w:rPr>
        <w:t xml:space="preserve">Short, strong, singular, but forces the </w:t>
      </w:r>
      <w:r w:rsidRPr="00BC2790">
        <w:rPr>
          <w:rFonts w:ascii="Garamond" w:hAnsi="Garamond"/>
          <w:color w:val="000000"/>
        </w:rPr>
        <w:tab/>
        <w:t xml:space="preserve">  responde</w:t>
      </w:r>
      <w:r w:rsidR="00177A98" w:rsidRPr="00BC2790">
        <w:rPr>
          <w:rFonts w:ascii="Garamond" w:hAnsi="Garamond"/>
          <w:color w:val="000000"/>
        </w:rPr>
        <w:t>nt to overlook a presupposition—</w:t>
      </w:r>
      <w:r w:rsidRPr="00BC2790">
        <w:rPr>
          <w:rFonts w:ascii="Garamond" w:hAnsi="Garamond"/>
          <w:color w:val="000000"/>
        </w:rPr>
        <w:t xml:space="preserve">that there is such a thing as a good, better, </w:t>
      </w:r>
      <w:r w:rsidRPr="00BC2790">
        <w:rPr>
          <w:rFonts w:ascii="Garamond" w:hAnsi="Garamond"/>
          <w:color w:val="000000"/>
        </w:rPr>
        <w:tab/>
        <w:t xml:space="preserve">  best colonial master).</w:t>
      </w:r>
      <w:r w:rsidRPr="00BC2790">
        <w:rPr>
          <w:rFonts w:ascii="Garamond" w:hAnsi="Garamond"/>
          <w:color w:val="000000"/>
        </w:rPr>
        <w:tab/>
      </w:r>
    </w:p>
    <w:p w14:paraId="137A991B" w14:textId="77777777" w:rsidR="00507820" w:rsidRPr="00BC2790" w:rsidRDefault="00507820" w:rsidP="00BC2790">
      <w:pPr>
        <w:pStyle w:val="ListParagraph"/>
        <w:numPr>
          <w:ilvl w:val="0"/>
          <w:numId w:val="2"/>
        </w:numPr>
        <w:spacing w:line="100" w:lineRule="atLeast"/>
        <w:jc w:val="both"/>
        <w:rPr>
          <w:rFonts w:ascii="Garamond" w:hAnsi="Garamond"/>
          <w:color w:val="000000"/>
        </w:rPr>
      </w:pPr>
      <w:r w:rsidRPr="00BC2790">
        <w:rPr>
          <w:rFonts w:ascii="Garamond" w:hAnsi="Garamond"/>
          <w:color w:val="000000"/>
        </w:rPr>
        <w:t xml:space="preserve">Sometimes I dislike school. </w:t>
      </w:r>
      <w:r w:rsidR="00C43A44" w:rsidRPr="00BC2790">
        <w:rPr>
          <w:rFonts w:ascii="Garamond" w:hAnsi="Garamond"/>
          <w:color w:val="000000"/>
        </w:rPr>
        <w:t>(</w:t>
      </w:r>
      <w:r w:rsidRPr="00BC2790">
        <w:rPr>
          <w:rFonts w:ascii="Garamond" w:hAnsi="Garamond"/>
          <w:color w:val="000000"/>
        </w:rPr>
        <w:t xml:space="preserve">Not strongly assertive. What will be the difference between </w:t>
      </w:r>
      <w:r w:rsidRPr="00BC2790">
        <w:rPr>
          <w:rFonts w:ascii="Garamond" w:hAnsi="Garamond"/>
          <w:bCs/>
          <w:i/>
          <w:color w:val="000000"/>
        </w:rPr>
        <w:t>strongly agree</w:t>
      </w:r>
      <w:r w:rsidRPr="00BC2790">
        <w:rPr>
          <w:rFonts w:ascii="Garamond" w:hAnsi="Garamond"/>
          <w:color w:val="000000"/>
        </w:rPr>
        <w:t xml:space="preserve"> and </w:t>
      </w:r>
      <w:r w:rsidRPr="00BC2790">
        <w:rPr>
          <w:rFonts w:ascii="Garamond" w:hAnsi="Garamond"/>
          <w:bCs/>
          <w:i/>
          <w:color w:val="000000"/>
        </w:rPr>
        <w:t>agree</w:t>
      </w:r>
      <w:r w:rsidRPr="00BC2790">
        <w:rPr>
          <w:rFonts w:ascii="Garamond" w:hAnsi="Garamond"/>
          <w:color w:val="000000"/>
        </w:rPr>
        <w:t xml:space="preserve"> for this item?</w:t>
      </w:r>
    </w:p>
    <w:p w14:paraId="61505781" w14:textId="77777777" w:rsidR="00507820" w:rsidRPr="00BC2790" w:rsidRDefault="00507820" w:rsidP="00BC2790">
      <w:pPr>
        <w:spacing w:line="100" w:lineRule="atLeast"/>
        <w:jc w:val="both"/>
        <w:rPr>
          <w:rFonts w:ascii="Garamond" w:hAnsi="Garamond"/>
          <w:color w:val="000000"/>
        </w:rPr>
      </w:pPr>
    </w:p>
    <w:p w14:paraId="6239E0A1" w14:textId="77777777" w:rsidR="00507820" w:rsidRPr="00BC2790" w:rsidRDefault="00507820" w:rsidP="00BC2790">
      <w:pPr>
        <w:spacing w:line="100" w:lineRule="atLeast"/>
        <w:jc w:val="both"/>
        <w:rPr>
          <w:rFonts w:ascii="Garamond" w:hAnsi="Garamond"/>
          <w:b/>
          <w:color w:val="000000"/>
        </w:rPr>
      </w:pPr>
      <w:r w:rsidRPr="00BC2790">
        <w:rPr>
          <w:rFonts w:ascii="Garamond" w:hAnsi="Garamond"/>
          <w:b/>
          <w:color w:val="000000"/>
        </w:rPr>
        <w:t xml:space="preserve">Exercise: </w:t>
      </w:r>
    </w:p>
    <w:p w14:paraId="616B687D"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1. Each dyad should identify 4 to 6 likely findings (conclusions or outcomes) from their  fieldwork project. These can be estimates, of course, since the studies are not done yet. They should be worded in the form of a sentence statement which indicates a relationship or a directional observation. (e.g., The older children tend to talk more. OR The international students appear to be more interested in field trips.)</w:t>
      </w:r>
    </w:p>
    <w:p w14:paraId="709461BE"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 xml:space="preserve">2. Each of these “conclusions” from the field work should now be stated in the form of a Likert item. For each, also try to create a parallel item or two, each of which would get at the same finding, but with a different wording. (This technique is called “triangulation,” seeking higher reliability by getting more than one indication of the judgments about the item.) </w:t>
      </w:r>
    </w:p>
    <w:p w14:paraId="0776AA2B" w14:textId="77777777" w:rsidR="00C43A44" w:rsidRPr="00BC2790" w:rsidRDefault="00C43A44" w:rsidP="00BC2790">
      <w:pPr>
        <w:spacing w:line="100" w:lineRule="atLeast"/>
        <w:jc w:val="both"/>
        <w:rPr>
          <w:rFonts w:ascii="Garamond" w:hAnsi="Garamond"/>
          <w:color w:val="000000"/>
        </w:rPr>
      </w:pPr>
    </w:p>
    <w:p w14:paraId="6E6AD5B6" w14:textId="77777777" w:rsidR="00507820" w:rsidRPr="00BC2790" w:rsidRDefault="00C43A44" w:rsidP="00BC2790">
      <w:pPr>
        <w:spacing w:line="100" w:lineRule="atLeast"/>
        <w:jc w:val="both"/>
        <w:rPr>
          <w:rFonts w:ascii="Garamond" w:hAnsi="Garamond"/>
          <w:i/>
          <w:color w:val="000000"/>
        </w:rPr>
      </w:pPr>
      <w:r w:rsidRPr="00BC2790">
        <w:rPr>
          <w:rFonts w:ascii="Garamond" w:hAnsi="Garamond"/>
          <w:i/>
          <w:color w:val="000000"/>
        </w:rPr>
        <w:t>Use the remaining time for continuing the workshop activity of the dyads. It may be time now for dyads to visit other dyads for some “looking over the shoulder” into matters of coding, analyzing, and interpretation.</w:t>
      </w:r>
    </w:p>
    <w:p w14:paraId="139599C3" w14:textId="77777777" w:rsidR="00BC2790" w:rsidRDefault="00BC2790" w:rsidP="00BC2790">
      <w:pPr>
        <w:spacing w:line="100" w:lineRule="atLeast"/>
        <w:jc w:val="both"/>
        <w:rPr>
          <w:rFonts w:ascii="Garamond" w:hAnsi="Garamond"/>
          <w:b/>
          <w:color w:val="000000"/>
        </w:rPr>
      </w:pPr>
    </w:p>
    <w:p w14:paraId="6D387E04" w14:textId="77777777" w:rsidR="00507820" w:rsidRPr="00BC2790" w:rsidRDefault="00507820" w:rsidP="00BC2790">
      <w:pPr>
        <w:spacing w:line="100" w:lineRule="atLeast"/>
        <w:jc w:val="both"/>
        <w:rPr>
          <w:rFonts w:ascii="Garamond" w:hAnsi="Garamond"/>
          <w:b/>
          <w:bCs/>
          <w:color w:val="000000"/>
        </w:rPr>
      </w:pPr>
      <w:r w:rsidRPr="00BC2790">
        <w:rPr>
          <w:rFonts w:ascii="Garamond" w:hAnsi="Garamond"/>
          <w:b/>
          <w:color w:val="000000"/>
        </w:rPr>
        <w:t>To prepare for tomorrow</w:t>
      </w:r>
      <w:r w:rsidRPr="00BC2790">
        <w:rPr>
          <w:rFonts w:ascii="Garamond" w:hAnsi="Garamond"/>
          <w:color w:val="000000"/>
        </w:rPr>
        <w:t xml:space="preserve">: Seek volunteers for the 5 reporting slots for tomorrow. If not enough dyads volunteer, start from the doorway and draft the dyads in a clockwise manner until you get the 5 needed. Assurance: This oral report is not intended as a test. It is a practice session for the sorts of things that need to be in the written report. It is best to hear from both people in the dyad, but they should plan how to divide the task between themselves. </w:t>
      </w:r>
      <w:r w:rsidRPr="00BC2790">
        <w:rPr>
          <w:rFonts w:ascii="Garamond" w:hAnsi="Garamond"/>
          <w:bCs/>
          <w:i/>
          <w:color w:val="000000"/>
        </w:rPr>
        <w:t>The report should be opened to questions from the floor after 20 minutes and completed altogether at 30 minutes.</w:t>
      </w:r>
    </w:p>
    <w:p w14:paraId="2B4757CA" w14:textId="77777777" w:rsidR="00BC2790" w:rsidRDefault="00BC2790" w:rsidP="00BC2790">
      <w:pPr>
        <w:spacing w:line="100" w:lineRule="atLeast"/>
        <w:jc w:val="both"/>
        <w:rPr>
          <w:rFonts w:ascii="Garamond" w:hAnsi="Garamond"/>
          <w:b/>
          <w:bCs/>
          <w:color w:val="000000"/>
          <w:sz w:val="28"/>
          <w:szCs w:val="28"/>
        </w:rPr>
      </w:pPr>
    </w:p>
    <w:p w14:paraId="6AFFAF6E" w14:textId="77777777" w:rsidR="00177A98" w:rsidRPr="00BC2790" w:rsidRDefault="00177A98" w:rsidP="00BC2790">
      <w:pPr>
        <w:spacing w:line="100" w:lineRule="atLeast"/>
        <w:jc w:val="both"/>
        <w:rPr>
          <w:rFonts w:ascii="Garamond" w:hAnsi="Garamond"/>
          <w:b/>
          <w:bCs/>
          <w:color w:val="000000"/>
        </w:rPr>
      </w:pPr>
      <w:r w:rsidRPr="00BC2790">
        <w:rPr>
          <w:rFonts w:ascii="Garamond" w:hAnsi="Garamond"/>
          <w:b/>
          <w:bCs/>
          <w:color w:val="000000"/>
          <w:sz w:val="28"/>
          <w:szCs w:val="28"/>
        </w:rPr>
        <w:t>April 28</w:t>
      </w:r>
      <w:r w:rsidR="00507820" w:rsidRPr="00BC2790">
        <w:rPr>
          <w:rFonts w:ascii="Garamond" w:hAnsi="Garamond"/>
          <w:color w:val="000000"/>
        </w:rPr>
        <w:t xml:space="preserve"> </w:t>
      </w:r>
    </w:p>
    <w:p w14:paraId="6DFA0100" w14:textId="77777777" w:rsidR="00507820" w:rsidRPr="00BC2790" w:rsidRDefault="00507820" w:rsidP="00BC2790">
      <w:pPr>
        <w:spacing w:line="100" w:lineRule="atLeast"/>
        <w:jc w:val="both"/>
        <w:rPr>
          <w:rFonts w:ascii="Garamond" w:hAnsi="Garamond"/>
          <w:color w:val="000000"/>
        </w:rPr>
      </w:pPr>
      <w:r w:rsidRPr="00BC2790">
        <w:rPr>
          <w:rFonts w:ascii="Garamond" w:hAnsi="Garamond"/>
          <w:bCs/>
          <w:i/>
          <w:color w:val="000000"/>
        </w:rPr>
        <w:t xml:space="preserve">Progress Reports: presentation and descriptions of projects (I). </w:t>
      </w:r>
      <w:r w:rsidRPr="00BC2790">
        <w:rPr>
          <w:rFonts w:ascii="Garamond" w:hAnsi="Garamond"/>
          <w:color w:val="000000"/>
        </w:rPr>
        <w:t xml:space="preserve">Plan to hear progress reports from three dyads before break and two dyads after break. </w:t>
      </w:r>
      <w:r w:rsidR="00C43A44" w:rsidRPr="00BC2790">
        <w:rPr>
          <w:rFonts w:ascii="Garamond" w:hAnsi="Garamond"/>
          <w:i/>
          <w:color w:val="000000"/>
        </w:rPr>
        <w:t>Warning</w:t>
      </w:r>
      <w:r w:rsidRPr="00BC2790">
        <w:rPr>
          <w:rFonts w:ascii="Garamond" w:hAnsi="Garamond"/>
          <w:color w:val="000000"/>
        </w:rPr>
        <w:t>: These are not to be large and long. But if the dyad is so brief that lots of time remains, more questions need to be asked.</w:t>
      </w:r>
    </w:p>
    <w:p w14:paraId="2B054886" w14:textId="77777777" w:rsidR="00507820" w:rsidRPr="00BC2790" w:rsidRDefault="00507820" w:rsidP="00BC2790">
      <w:pPr>
        <w:spacing w:line="100" w:lineRule="atLeast"/>
        <w:jc w:val="both"/>
        <w:rPr>
          <w:rFonts w:ascii="Garamond" w:hAnsi="Garamond"/>
          <w:color w:val="000000"/>
        </w:rPr>
      </w:pPr>
    </w:p>
    <w:p w14:paraId="04BC0956"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Move quickly into the first presentation: The two people in the dyad should try to organize their presentation around these questions:</w:t>
      </w:r>
    </w:p>
    <w:p w14:paraId="3CBED4C0" w14:textId="77777777" w:rsidR="00507820" w:rsidRPr="00BC2790" w:rsidRDefault="00C43A44" w:rsidP="00BC2790">
      <w:pPr>
        <w:spacing w:line="100" w:lineRule="atLeast"/>
        <w:jc w:val="both"/>
        <w:rPr>
          <w:rFonts w:ascii="Garamond" w:hAnsi="Garamond"/>
          <w:i/>
          <w:color w:val="000000"/>
        </w:rPr>
      </w:pPr>
      <w:r w:rsidRPr="00BC2790">
        <w:rPr>
          <w:rFonts w:ascii="Garamond" w:hAnsi="Garamond"/>
          <w:i/>
          <w:color w:val="000000"/>
        </w:rPr>
        <w:tab/>
        <w:t xml:space="preserve">What did you do? How? Who did you see and talk to? </w:t>
      </w:r>
    </w:p>
    <w:p w14:paraId="7FF49F8A" w14:textId="77777777" w:rsidR="00507820" w:rsidRPr="00BC2790" w:rsidRDefault="00C43A44" w:rsidP="00BC2790">
      <w:pPr>
        <w:spacing w:line="100" w:lineRule="atLeast"/>
        <w:jc w:val="both"/>
        <w:rPr>
          <w:rFonts w:ascii="Garamond" w:hAnsi="Garamond"/>
          <w:i/>
          <w:color w:val="000000"/>
        </w:rPr>
      </w:pPr>
      <w:r w:rsidRPr="00BC2790">
        <w:rPr>
          <w:rFonts w:ascii="Garamond" w:hAnsi="Garamond"/>
          <w:i/>
          <w:color w:val="000000"/>
        </w:rPr>
        <w:tab/>
        <w:t xml:space="preserve">What were the central concerns that you were trying to deal with? What did you learn?  </w:t>
      </w:r>
    </w:p>
    <w:p w14:paraId="66997082" w14:textId="77777777" w:rsidR="00507820" w:rsidRPr="00BC2790" w:rsidRDefault="00C43A44" w:rsidP="00BC2790">
      <w:pPr>
        <w:spacing w:line="100" w:lineRule="atLeast"/>
        <w:jc w:val="both"/>
        <w:rPr>
          <w:rFonts w:ascii="Garamond" w:hAnsi="Garamond"/>
          <w:i/>
          <w:color w:val="000000"/>
        </w:rPr>
      </w:pPr>
      <w:r w:rsidRPr="00BC2790">
        <w:rPr>
          <w:rFonts w:ascii="Garamond" w:hAnsi="Garamond"/>
          <w:i/>
          <w:color w:val="000000"/>
        </w:rPr>
        <w:tab/>
        <w:t>What were some of your expectations that proved to be correct? What unexpected insights came to you?</w:t>
      </w:r>
    </w:p>
    <w:p w14:paraId="277E2357" w14:textId="77777777" w:rsidR="00507820" w:rsidRPr="00BC2790" w:rsidRDefault="00507820" w:rsidP="00BC2790">
      <w:pPr>
        <w:spacing w:line="100" w:lineRule="atLeast"/>
        <w:jc w:val="both"/>
        <w:rPr>
          <w:rFonts w:ascii="Garamond" w:hAnsi="Garamond"/>
          <w:color w:val="000000"/>
        </w:rPr>
      </w:pPr>
    </w:p>
    <w:p w14:paraId="2D1E7A9A"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After 20 minutes the floor should be opened for a) matters of clarification; and b) matters of concern about interpretation. End with some words of encouragement. Remember that the written report should reflect what the dyad learned through making this presentation.</w:t>
      </w:r>
    </w:p>
    <w:p w14:paraId="0552300E" w14:textId="77777777" w:rsidR="00507820" w:rsidRPr="00BC2790" w:rsidRDefault="00507820" w:rsidP="00BC2790">
      <w:pPr>
        <w:spacing w:line="100" w:lineRule="atLeast"/>
        <w:jc w:val="both"/>
        <w:rPr>
          <w:rFonts w:ascii="Garamond" w:hAnsi="Garamond"/>
          <w:color w:val="000000"/>
        </w:rPr>
      </w:pPr>
    </w:p>
    <w:p w14:paraId="3D0A2EDA" w14:textId="77777777" w:rsidR="00177A98" w:rsidRPr="00BC2790" w:rsidRDefault="00177A98" w:rsidP="00BC2790">
      <w:pPr>
        <w:spacing w:line="100" w:lineRule="atLeast"/>
        <w:jc w:val="both"/>
        <w:rPr>
          <w:rFonts w:ascii="Garamond" w:hAnsi="Garamond"/>
          <w:color w:val="000000"/>
        </w:rPr>
      </w:pPr>
      <w:r w:rsidRPr="00BC2790">
        <w:rPr>
          <w:rFonts w:ascii="Garamond" w:hAnsi="Garamond"/>
          <w:b/>
          <w:bCs/>
          <w:color w:val="000000"/>
          <w:sz w:val="30"/>
          <w:szCs w:val="30"/>
        </w:rPr>
        <w:t>April 29</w:t>
      </w:r>
      <w:r w:rsidR="00507820" w:rsidRPr="00BC2790">
        <w:rPr>
          <w:rFonts w:ascii="Garamond" w:hAnsi="Garamond"/>
          <w:color w:val="000000"/>
        </w:rPr>
        <w:t xml:space="preserve"> </w:t>
      </w:r>
    </w:p>
    <w:p w14:paraId="4AB429A7" w14:textId="77777777" w:rsidR="00507820" w:rsidRPr="00BC2790" w:rsidRDefault="00507820" w:rsidP="00BC2790">
      <w:pPr>
        <w:spacing w:line="100" w:lineRule="atLeast"/>
        <w:jc w:val="both"/>
        <w:rPr>
          <w:rFonts w:ascii="Garamond" w:hAnsi="Garamond"/>
          <w:color w:val="000000"/>
        </w:rPr>
      </w:pPr>
      <w:r w:rsidRPr="00BC2790">
        <w:rPr>
          <w:rFonts w:ascii="Garamond" w:hAnsi="Garamond"/>
          <w:bCs/>
          <w:i/>
          <w:color w:val="000000"/>
        </w:rPr>
        <w:t xml:space="preserve">Progress Reports: presentation and descriptions of projects (II). </w:t>
      </w:r>
      <w:r w:rsidRPr="00BC2790">
        <w:rPr>
          <w:rFonts w:ascii="Garamond" w:hAnsi="Garamond"/>
          <w:color w:val="000000"/>
        </w:rPr>
        <w:t xml:space="preserve">Follow the pattern from yesterday’s schedule and format. </w:t>
      </w:r>
      <w:r w:rsidR="00C43A44" w:rsidRPr="00BC2790">
        <w:rPr>
          <w:rFonts w:ascii="Garamond" w:hAnsi="Garamond"/>
          <w:i/>
          <w:color w:val="000000"/>
        </w:rPr>
        <w:t>Reminder</w:t>
      </w:r>
      <w:r w:rsidRPr="00BC2790">
        <w:rPr>
          <w:rFonts w:ascii="Garamond" w:hAnsi="Garamond"/>
          <w:color w:val="000000"/>
        </w:rPr>
        <w:t xml:space="preserve"> The papers are </w:t>
      </w:r>
      <w:r w:rsidR="00C43A44" w:rsidRPr="00BC2790">
        <w:rPr>
          <w:rFonts w:ascii="Garamond" w:hAnsi="Garamond"/>
          <w:i/>
          <w:color w:val="000000"/>
        </w:rPr>
        <w:t>due</w:t>
      </w:r>
      <w:r w:rsidRPr="00BC2790">
        <w:rPr>
          <w:rFonts w:ascii="Garamond" w:hAnsi="Garamond"/>
          <w:color w:val="000000"/>
        </w:rPr>
        <w:t xml:space="preserve"> on May 20, but they are acceptable whenever they can be done before that time. Since it is assumed that the fieldwork is already done, the collaboration on the writing tasks and the cleaning up of the composite paper so that both persons in the dyad are satisfied with it can be done more effectively sooner rather than later. Thanks, Ted</w:t>
      </w:r>
    </w:p>
    <w:p w14:paraId="7CAEB7F1" w14:textId="77777777" w:rsidR="00507820" w:rsidRPr="00BC2790" w:rsidRDefault="00507820" w:rsidP="00BC2790">
      <w:pPr>
        <w:spacing w:line="100" w:lineRule="atLeast"/>
        <w:jc w:val="both"/>
        <w:rPr>
          <w:rFonts w:ascii="Garamond" w:hAnsi="Garamond"/>
          <w:color w:val="000000"/>
        </w:rPr>
      </w:pPr>
    </w:p>
    <w:p w14:paraId="55D3954E" w14:textId="77777777" w:rsidR="00507820" w:rsidRPr="00BC2790" w:rsidRDefault="00507820" w:rsidP="00BC2790">
      <w:pPr>
        <w:spacing w:line="100" w:lineRule="atLeast"/>
        <w:jc w:val="both"/>
        <w:rPr>
          <w:rFonts w:ascii="Garamond" w:hAnsi="Garamond"/>
          <w:color w:val="000000"/>
        </w:rPr>
      </w:pPr>
      <w:r w:rsidRPr="00BC2790">
        <w:rPr>
          <w:rFonts w:ascii="Garamond" w:hAnsi="Garamond"/>
          <w:color w:val="000000"/>
        </w:rPr>
        <w:t>PS. Will I be reading the papers? You can be sure of that!</w:t>
      </w:r>
    </w:p>
    <w:p w14:paraId="3113BBCF" w14:textId="77777777" w:rsidR="00507820" w:rsidRPr="00BC2790" w:rsidRDefault="00507820" w:rsidP="00BC2790">
      <w:pPr>
        <w:spacing w:line="100" w:lineRule="atLeast"/>
        <w:jc w:val="both"/>
        <w:rPr>
          <w:rFonts w:ascii="Garamond" w:hAnsi="Garamond"/>
          <w:color w:val="000000"/>
        </w:rPr>
      </w:pPr>
    </w:p>
    <w:p w14:paraId="5D18D24F" w14:textId="77777777" w:rsidR="00507820" w:rsidRPr="00BC2790" w:rsidRDefault="00507820" w:rsidP="00BC2790">
      <w:pPr>
        <w:jc w:val="both"/>
        <w:rPr>
          <w:rFonts w:ascii="Garamond" w:hAnsi="Garamond"/>
        </w:rPr>
      </w:pPr>
    </w:p>
    <w:sectPr w:rsidR="00507820" w:rsidRPr="00BC2790" w:rsidSect="00BC2790">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2F1ED" w14:textId="77777777" w:rsidR="00BC2790" w:rsidRDefault="00BC2790" w:rsidP="00BC2790">
      <w:r>
        <w:separator/>
      </w:r>
    </w:p>
  </w:endnote>
  <w:endnote w:type="continuationSeparator" w:id="0">
    <w:p w14:paraId="7A0BAAFD" w14:textId="77777777" w:rsidR="00BC2790" w:rsidRDefault="00BC2790" w:rsidP="00BC2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C3A96" w14:textId="77777777" w:rsidR="00BC2790" w:rsidRDefault="00BC2790" w:rsidP="00F960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607C6F" w14:textId="77777777" w:rsidR="00BC2790" w:rsidRDefault="00BC2790" w:rsidP="00BC279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0AC5B" w14:textId="77777777" w:rsidR="00BC2790" w:rsidRPr="00BC2790" w:rsidRDefault="00BC2790" w:rsidP="00F96045">
    <w:pPr>
      <w:pStyle w:val="Footer"/>
      <w:framePr w:wrap="around" w:vAnchor="text" w:hAnchor="margin" w:xAlign="right" w:y="1"/>
      <w:rPr>
        <w:rStyle w:val="PageNumber"/>
        <w:rFonts w:ascii="Garamond" w:hAnsi="Garamond"/>
        <w:sz w:val="22"/>
        <w:szCs w:val="22"/>
      </w:rPr>
    </w:pPr>
    <w:r w:rsidRPr="00BC2790">
      <w:rPr>
        <w:rStyle w:val="PageNumber"/>
        <w:rFonts w:ascii="Garamond" w:hAnsi="Garamond"/>
        <w:sz w:val="22"/>
        <w:szCs w:val="22"/>
      </w:rPr>
      <w:fldChar w:fldCharType="begin"/>
    </w:r>
    <w:r w:rsidRPr="00BC2790">
      <w:rPr>
        <w:rStyle w:val="PageNumber"/>
        <w:rFonts w:ascii="Garamond" w:hAnsi="Garamond"/>
        <w:sz w:val="22"/>
        <w:szCs w:val="22"/>
      </w:rPr>
      <w:instrText xml:space="preserve">PAGE  </w:instrText>
    </w:r>
    <w:r w:rsidRPr="00BC2790">
      <w:rPr>
        <w:rStyle w:val="PageNumber"/>
        <w:rFonts w:ascii="Garamond" w:hAnsi="Garamond"/>
        <w:sz w:val="22"/>
        <w:szCs w:val="22"/>
      </w:rPr>
      <w:fldChar w:fldCharType="separate"/>
    </w:r>
    <w:r w:rsidR="00A80AF6">
      <w:rPr>
        <w:rStyle w:val="PageNumber"/>
        <w:rFonts w:ascii="Garamond" w:hAnsi="Garamond"/>
        <w:sz w:val="22"/>
        <w:szCs w:val="22"/>
      </w:rPr>
      <w:t>2</w:t>
    </w:r>
    <w:r w:rsidRPr="00BC2790">
      <w:rPr>
        <w:rStyle w:val="PageNumber"/>
        <w:rFonts w:ascii="Garamond" w:hAnsi="Garamond"/>
        <w:sz w:val="22"/>
        <w:szCs w:val="22"/>
      </w:rPr>
      <w:fldChar w:fldCharType="end"/>
    </w:r>
  </w:p>
  <w:p w14:paraId="6D010F13" w14:textId="77777777" w:rsidR="00BC2790" w:rsidRDefault="00BC2790" w:rsidP="00BC279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8FFF0" w14:textId="77777777" w:rsidR="00BC2790" w:rsidRDefault="00BC2790" w:rsidP="00BC2790">
      <w:r>
        <w:separator/>
      </w:r>
    </w:p>
  </w:footnote>
  <w:footnote w:type="continuationSeparator" w:id="0">
    <w:p w14:paraId="0EDCED5B" w14:textId="77777777" w:rsidR="00BC2790" w:rsidRDefault="00BC2790" w:rsidP="00BC27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D045C"/>
    <w:multiLevelType w:val="hybridMultilevel"/>
    <w:tmpl w:val="E8188116"/>
    <w:lvl w:ilvl="0" w:tplc="C36A659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734945"/>
    <w:multiLevelType w:val="hybridMultilevel"/>
    <w:tmpl w:val="956A8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035A20"/>
    <w:multiLevelType w:val="hybridMultilevel"/>
    <w:tmpl w:val="B272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5AD"/>
    <w:rsid w:val="00177A98"/>
    <w:rsid w:val="003A7CED"/>
    <w:rsid w:val="00507820"/>
    <w:rsid w:val="00515A55"/>
    <w:rsid w:val="007E0090"/>
    <w:rsid w:val="008C6BD8"/>
    <w:rsid w:val="0095637A"/>
    <w:rsid w:val="009653CA"/>
    <w:rsid w:val="00A80AF6"/>
    <w:rsid w:val="00BB22E7"/>
    <w:rsid w:val="00BC2790"/>
    <w:rsid w:val="00BE65AD"/>
    <w:rsid w:val="00C05ADF"/>
    <w:rsid w:val="00C43A44"/>
    <w:rsid w:val="00C5597F"/>
    <w:rsid w:val="00C94D21"/>
    <w:rsid w:val="00F6575D"/>
    <w:rsid w:val="00FB4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89E5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5AD"/>
    <w:rPr>
      <w:rFonts w:eastAsia="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820"/>
    <w:pPr>
      <w:ind w:left="720"/>
      <w:contextualSpacing/>
    </w:pPr>
  </w:style>
  <w:style w:type="paragraph" w:styleId="Footer">
    <w:name w:val="footer"/>
    <w:basedOn w:val="Normal"/>
    <w:link w:val="FooterChar"/>
    <w:uiPriority w:val="99"/>
    <w:unhideWhenUsed/>
    <w:rsid w:val="00BC2790"/>
    <w:pPr>
      <w:tabs>
        <w:tab w:val="center" w:pos="4320"/>
        <w:tab w:val="right" w:pos="8640"/>
      </w:tabs>
    </w:pPr>
  </w:style>
  <w:style w:type="character" w:customStyle="1" w:styleId="FooterChar">
    <w:name w:val="Footer Char"/>
    <w:basedOn w:val="DefaultParagraphFont"/>
    <w:link w:val="Footer"/>
    <w:uiPriority w:val="99"/>
    <w:rsid w:val="00BC2790"/>
    <w:rPr>
      <w:rFonts w:eastAsia="Times New Roman" w:cs="Times New Roman"/>
      <w:noProof/>
      <w:sz w:val="24"/>
      <w:szCs w:val="24"/>
    </w:rPr>
  </w:style>
  <w:style w:type="character" w:styleId="PageNumber">
    <w:name w:val="page number"/>
    <w:basedOn w:val="DefaultParagraphFont"/>
    <w:uiPriority w:val="99"/>
    <w:semiHidden/>
    <w:unhideWhenUsed/>
    <w:rsid w:val="00BC2790"/>
  </w:style>
  <w:style w:type="paragraph" w:styleId="Header">
    <w:name w:val="header"/>
    <w:basedOn w:val="Normal"/>
    <w:link w:val="HeaderChar"/>
    <w:uiPriority w:val="99"/>
    <w:unhideWhenUsed/>
    <w:rsid w:val="00BC2790"/>
    <w:pPr>
      <w:tabs>
        <w:tab w:val="center" w:pos="4320"/>
        <w:tab w:val="right" w:pos="8640"/>
      </w:tabs>
    </w:pPr>
  </w:style>
  <w:style w:type="character" w:customStyle="1" w:styleId="HeaderChar">
    <w:name w:val="Header Char"/>
    <w:basedOn w:val="DefaultParagraphFont"/>
    <w:link w:val="Header"/>
    <w:uiPriority w:val="99"/>
    <w:rsid w:val="00BC2790"/>
    <w:rPr>
      <w:rFonts w:eastAsia="Times New Roman" w:cs="Times New Roman"/>
      <w:noProo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5AD"/>
    <w:rPr>
      <w:rFonts w:eastAsia="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820"/>
    <w:pPr>
      <w:ind w:left="720"/>
      <w:contextualSpacing/>
    </w:pPr>
  </w:style>
  <w:style w:type="paragraph" w:styleId="Footer">
    <w:name w:val="footer"/>
    <w:basedOn w:val="Normal"/>
    <w:link w:val="FooterChar"/>
    <w:uiPriority w:val="99"/>
    <w:unhideWhenUsed/>
    <w:rsid w:val="00BC2790"/>
    <w:pPr>
      <w:tabs>
        <w:tab w:val="center" w:pos="4320"/>
        <w:tab w:val="right" w:pos="8640"/>
      </w:tabs>
    </w:pPr>
  </w:style>
  <w:style w:type="character" w:customStyle="1" w:styleId="FooterChar">
    <w:name w:val="Footer Char"/>
    <w:basedOn w:val="DefaultParagraphFont"/>
    <w:link w:val="Footer"/>
    <w:uiPriority w:val="99"/>
    <w:rsid w:val="00BC2790"/>
    <w:rPr>
      <w:rFonts w:eastAsia="Times New Roman" w:cs="Times New Roman"/>
      <w:noProof/>
      <w:sz w:val="24"/>
      <w:szCs w:val="24"/>
    </w:rPr>
  </w:style>
  <w:style w:type="character" w:styleId="PageNumber">
    <w:name w:val="page number"/>
    <w:basedOn w:val="DefaultParagraphFont"/>
    <w:uiPriority w:val="99"/>
    <w:semiHidden/>
    <w:unhideWhenUsed/>
    <w:rsid w:val="00BC2790"/>
  </w:style>
  <w:style w:type="paragraph" w:styleId="Header">
    <w:name w:val="header"/>
    <w:basedOn w:val="Normal"/>
    <w:link w:val="HeaderChar"/>
    <w:uiPriority w:val="99"/>
    <w:unhideWhenUsed/>
    <w:rsid w:val="00BC2790"/>
    <w:pPr>
      <w:tabs>
        <w:tab w:val="center" w:pos="4320"/>
        <w:tab w:val="right" w:pos="8640"/>
      </w:tabs>
    </w:pPr>
  </w:style>
  <w:style w:type="character" w:customStyle="1" w:styleId="HeaderChar">
    <w:name w:val="Header Char"/>
    <w:basedOn w:val="DefaultParagraphFont"/>
    <w:link w:val="Header"/>
    <w:uiPriority w:val="99"/>
    <w:rsid w:val="00BC2790"/>
    <w:rPr>
      <w:rFonts w:eastAsia="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1664</Words>
  <Characters>9485</Characters>
  <Application>Microsoft Macintosh Word</Application>
  <DocSecurity>0</DocSecurity>
  <Lines>79</Lines>
  <Paragraphs>22</Paragraphs>
  <ScaleCrop>false</ScaleCrop>
  <Company/>
  <LinksUpToDate>false</LinksUpToDate>
  <CharactersWithSpaces>11127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Cannell</dc:creator>
  <cp:keywords/>
  <dc:description/>
  <cp:lastModifiedBy>Linda Cannell</cp:lastModifiedBy>
  <cp:revision>8</cp:revision>
  <dcterms:created xsi:type="dcterms:W3CDTF">2016-01-30T23:56:00Z</dcterms:created>
  <dcterms:modified xsi:type="dcterms:W3CDTF">2016-02-10T23:25:00Z</dcterms:modified>
</cp:coreProperties>
</file>